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1AABA" w14:textId="12F23889" w:rsidR="00C3343A" w:rsidRPr="00B669A0" w:rsidRDefault="00C3343A" w:rsidP="00C3343A">
      <w:pPr>
        <w:spacing w:after="0"/>
        <w:jc w:val="center"/>
        <w:rPr>
          <w:b/>
          <w:bCs/>
          <w:lang w:val="en-GB"/>
        </w:rPr>
      </w:pPr>
      <w:bookmarkStart w:id="0" w:name="_Hlk63935131"/>
      <w:r w:rsidRPr="00B669A0">
        <w:rPr>
          <w:b/>
          <w:bCs/>
          <w:lang w:val="en-GB"/>
        </w:rPr>
        <w:t>TARGETED STAKEHOLDER CONSULTATION 2021 RULE OF LAW REPORT</w:t>
      </w:r>
    </w:p>
    <w:p w14:paraId="4FFF9CC0" w14:textId="77777777" w:rsidR="00C3343A" w:rsidRPr="00C3343A" w:rsidRDefault="00C3343A" w:rsidP="00C3343A">
      <w:pPr>
        <w:spacing w:after="0"/>
        <w:jc w:val="center"/>
        <w:rPr>
          <w:b/>
          <w:bCs/>
          <w:lang w:val="en-AU"/>
        </w:rPr>
      </w:pPr>
      <w:r w:rsidRPr="00B669A0">
        <w:rPr>
          <w:b/>
          <w:bCs/>
          <w:lang w:val="en-AU"/>
        </w:rPr>
        <w:t>UN HUMAN RIGHTS REGIONAL OFFICE FOR EUROPE (OHCHR)</w:t>
      </w:r>
    </w:p>
    <w:p w14:paraId="0CE6456A" w14:textId="5F1D78D1" w:rsidR="00C3343A" w:rsidRDefault="00C3343A" w:rsidP="00C3343A">
      <w:pPr>
        <w:pStyle w:val="Heading1"/>
        <w:pBdr>
          <w:top w:val="single" w:sz="4" w:space="1" w:color="auto"/>
        </w:pBdr>
        <w:spacing w:before="27"/>
        <w:ind w:hanging="464"/>
        <w:rPr>
          <w:lang w:val="en-AU"/>
        </w:rPr>
      </w:pPr>
      <w:r w:rsidRPr="00C3343A">
        <w:rPr>
          <w:lang w:val="en-AU"/>
        </w:rPr>
        <w:t>REVIEW DENMARK</w:t>
      </w:r>
    </w:p>
    <w:p w14:paraId="08B0DD3E" w14:textId="0678B35F" w:rsidR="005F2FD4" w:rsidRDefault="005F2FD4" w:rsidP="00C3343A">
      <w:pPr>
        <w:pStyle w:val="Heading1"/>
        <w:pBdr>
          <w:top w:val="single" w:sz="4" w:space="1" w:color="auto"/>
        </w:pBdr>
        <w:spacing w:before="27"/>
        <w:ind w:hanging="464"/>
        <w:rPr>
          <w:lang w:val="en-AU"/>
        </w:rPr>
      </w:pPr>
    </w:p>
    <w:p w14:paraId="5F86072C" w14:textId="77777777" w:rsidR="005F2FD4" w:rsidRPr="00C3343A" w:rsidRDefault="005F2FD4" w:rsidP="00C3343A">
      <w:pPr>
        <w:pStyle w:val="Heading1"/>
        <w:pBdr>
          <w:top w:val="single" w:sz="4" w:space="1" w:color="auto"/>
        </w:pBdr>
        <w:spacing w:before="27"/>
        <w:ind w:hanging="464"/>
      </w:pPr>
    </w:p>
    <w:p w14:paraId="5421C2E0" w14:textId="77777777" w:rsidR="00C3343A" w:rsidRDefault="00C3343A" w:rsidP="00C3343A">
      <w:pPr>
        <w:pStyle w:val="ListParagraph"/>
        <w:widowControl w:val="0"/>
        <w:numPr>
          <w:ilvl w:val="0"/>
          <w:numId w:val="6"/>
        </w:numPr>
        <w:shd w:val="clear" w:color="auto" w:fill="E7E6E6" w:themeFill="background2"/>
        <w:tabs>
          <w:tab w:val="left" w:pos="464"/>
          <w:tab w:val="left" w:pos="465"/>
        </w:tabs>
        <w:autoSpaceDE w:val="0"/>
        <w:autoSpaceDN w:val="0"/>
        <w:spacing w:before="77" w:after="0" w:line="240" w:lineRule="auto"/>
        <w:ind w:hanging="349"/>
        <w:contextualSpacing w:val="0"/>
        <w:rPr>
          <w:b/>
        </w:rPr>
      </w:pPr>
      <w:bookmarkStart w:id="1" w:name="I._Justice_System"/>
      <w:bookmarkEnd w:id="1"/>
      <w:r>
        <w:rPr>
          <w:b/>
        </w:rPr>
        <w:t>Justice</w:t>
      </w:r>
      <w:r>
        <w:rPr>
          <w:b/>
          <w:spacing w:val="-2"/>
        </w:rPr>
        <w:t xml:space="preserve"> </w:t>
      </w:r>
      <w:r>
        <w:rPr>
          <w:b/>
        </w:rPr>
        <w:t>System</w:t>
      </w:r>
    </w:p>
    <w:p w14:paraId="2E3DF061" w14:textId="77777777" w:rsidR="00C3343A" w:rsidRDefault="00C3343A" w:rsidP="00C3343A">
      <w:pPr>
        <w:pStyle w:val="Heading2"/>
        <w:numPr>
          <w:ilvl w:val="0"/>
          <w:numId w:val="5"/>
        </w:numPr>
        <w:tabs>
          <w:tab w:val="left" w:pos="543"/>
          <w:tab w:val="left" w:pos="544"/>
        </w:tabs>
        <w:spacing w:before="113"/>
      </w:pPr>
      <w:bookmarkStart w:id="2" w:name="A._Independence"/>
      <w:bookmarkEnd w:id="2"/>
      <w:r>
        <w:t>Independence</w:t>
      </w:r>
    </w:p>
    <w:p w14:paraId="193B8D63" w14:textId="77777777" w:rsidR="00C3343A" w:rsidRDefault="00C3343A" w:rsidP="00C3343A">
      <w:pPr>
        <w:pStyle w:val="ListParagraph"/>
        <w:widowControl w:val="0"/>
        <w:numPr>
          <w:ilvl w:val="1"/>
          <w:numId w:val="5"/>
        </w:numPr>
        <w:tabs>
          <w:tab w:val="left" w:pos="1217"/>
        </w:tabs>
        <w:autoSpaceDE w:val="0"/>
        <w:autoSpaceDN w:val="0"/>
        <w:spacing w:before="120" w:after="0" w:line="240" w:lineRule="auto"/>
        <w:ind w:hanging="362"/>
        <w:contextualSpacing w:val="0"/>
        <w:rPr>
          <w:i/>
        </w:rPr>
      </w:pPr>
      <w:r>
        <w:rPr>
          <w:i/>
        </w:rPr>
        <w:t>Appointment and selection of judges</w:t>
      </w:r>
      <w:r>
        <w:rPr>
          <w:rStyle w:val="FootnoteReference"/>
          <w:i/>
        </w:rPr>
        <w:footnoteReference w:id="1"/>
      </w:r>
      <w:r>
        <w:rPr>
          <w:i/>
        </w:rPr>
        <w:t>, prosecutors and court</w:t>
      </w:r>
      <w:r>
        <w:rPr>
          <w:i/>
          <w:spacing w:val="-9"/>
        </w:rPr>
        <w:t xml:space="preserve"> </w:t>
      </w:r>
      <w:r>
        <w:rPr>
          <w:i/>
        </w:rPr>
        <w:t>presidents</w:t>
      </w:r>
    </w:p>
    <w:p w14:paraId="1CABC1C5" w14:textId="77777777" w:rsidR="00C3343A" w:rsidRDefault="00C3343A" w:rsidP="00C3343A">
      <w:pPr>
        <w:pStyle w:val="ListParagraph"/>
        <w:widowControl w:val="0"/>
        <w:numPr>
          <w:ilvl w:val="1"/>
          <w:numId w:val="5"/>
        </w:numPr>
        <w:tabs>
          <w:tab w:val="left" w:pos="1216"/>
        </w:tabs>
        <w:autoSpaceDE w:val="0"/>
        <w:autoSpaceDN w:val="0"/>
        <w:spacing w:before="121" w:after="0" w:line="240" w:lineRule="auto"/>
        <w:ind w:left="1215" w:right="357" w:hanging="360"/>
        <w:contextualSpacing w:val="0"/>
        <w:rPr>
          <w:i/>
        </w:rPr>
      </w:pPr>
      <w:r>
        <w:rPr>
          <w:i/>
        </w:rPr>
        <w:t>Irremovability of judges; including transfers, dismissal and retirement regime of judges, court presidents and</w:t>
      </w:r>
      <w:r>
        <w:rPr>
          <w:i/>
          <w:spacing w:val="-3"/>
        </w:rPr>
        <w:t xml:space="preserve"> </w:t>
      </w:r>
      <w:r>
        <w:rPr>
          <w:i/>
        </w:rPr>
        <w:t>prosecutors</w:t>
      </w:r>
    </w:p>
    <w:p w14:paraId="04355BE4" w14:textId="77777777" w:rsidR="00C3343A" w:rsidRDefault="00C3343A" w:rsidP="00C3343A">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Promotion of judges and</w:t>
      </w:r>
      <w:r>
        <w:rPr>
          <w:i/>
          <w:spacing w:val="-10"/>
        </w:rPr>
        <w:t xml:space="preserve"> </w:t>
      </w:r>
      <w:r>
        <w:rPr>
          <w:i/>
        </w:rPr>
        <w:t>prosecutors</w:t>
      </w:r>
    </w:p>
    <w:p w14:paraId="0E12EB95" w14:textId="77777777" w:rsidR="00C3343A" w:rsidRDefault="00C3343A" w:rsidP="00C3343A">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Allocation of cases in</w:t>
      </w:r>
      <w:r>
        <w:rPr>
          <w:i/>
          <w:spacing w:val="-2"/>
        </w:rPr>
        <w:t xml:space="preserve"> </w:t>
      </w:r>
      <w:r>
        <w:rPr>
          <w:i/>
        </w:rPr>
        <w:t>courts</w:t>
      </w:r>
    </w:p>
    <w:p w14:paraId="06E47DFC" w14:textId="77777777" w:rsidR="00C3343A" w:rsidRDefault="00C3343A" w:rsidP="00C3343A">
      <w:pPr>
        <w:pStyle w:val="ListParagraph"/>
        <w:widowControl w:val="0"/>
        <w:numPr>
          <w:ilvl w:val="1"/>
          <w:numId w:val="5"/>
        </w:numPr>
        <w:tabs>
          <w:tab w:val="left" w:pos="1216"/>
        </w:tabs>
        <w:autoSpaceDE w:val="0"/>
        <w:autoSpaceDN w:val="0"/>
        <w:spacing w:before="121" w:after="0" w:line="240" w:lineRule="auto"/>
        <w:ind w:left="1215" w:right="187" w:hanging="360"/>
        <w:contextualSpacing w:val="0"/>
        <w:rPr>
          <w:i/>
        </w:rPr>
      </w:pPr>
      <w:r>
        <w:rPr>
          <w:i/>
        </w:rPr>
        <w:t>Independence (including composition and nomination of its members), and powers of the body tasked with safeguarding the independence of the judiciary (e.g. Council for the Judiciary)</w:t>
      </w:r>
    </w:p>
    <w:p w14:paraId="06C1F1A2" w14:textId="77777777" w:rsidR="00C3343A" w:rsidRDefault="00C3343A" w:rsidP="00C3343A">
      <w:pPr>
        <w:pStyle w:val="ListParagraph"/>
        <w:widowControl w:val="0"/>
        <w:numPr>
          <w:ilvl w:val="1"/>
          <w:numId w:val="5"/>
        </w:numPr>
        <w:tabs>
          <w:tab w:val="left" w:pos="1216"/>
        </w:tabs>
        <w:autoSpaceDE w:val="0"/>
        <w:autoSpaceDN w:val="0"/>
        <w:spacing w:before="118" w:after="0" w:line="240" w:lineRule="auto"/>
        <w:ind w:left="1215" w:right="453"/>
        <w:contextualSpacing w:val="0"/>
        <w:rPr>
          <w:i/>
        </w:rPr>
      </w:pPr>
      <w:r>
        <w:rPr>
          <w:i/>
        </w:rPr>
        <w:t>Accountability of judges and prosecutors, including disciplinary regime and bodies and ethical rules, judicial immunity and criminal liability of</w:t>
      </w:r>
      <w:r>
        <w:rPr>
          <w:i/>
          <w:spacing w:val="-9"/>
        </w:rPr>
        <w:t xml:space="preserve"> </w:t>
      </w:r>
      <w:r>
        <w:rPr>
          <w:i/>
        </w:rPr>
        <w:t>judges.</w:t>
      </w:r>
    </w:p>
    <w:p w14:paraId="595F9975" w14:textId="77777777" w:rsidR="00C3343A" w:rsidRDefault="00C3343A" w:rsidP="00C3343A">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Remuneration/bonuses for judges and</w:t>
      </w:r>
      <w:r>
        <w:rPr>
          <w:i/>
          <w:spacing w:val="-4"/>
        </w:rPr>
        <w:t xml:space="preserve"> </w:t>
      </w:r>
      <w:r>
        <w:rPr>
          <w:i/>
        </w:rPr>
        <w:t>prosecutors</w:t>
      </w:r>
    </w:p>
    <w:p w14:paraId="438F13E4" w14:textId="77777777" w:rsidR="00C3343A" w:rsidRDefault="00C3343A" w:rsidP="00C3343A">
      <w:pPr>
        <w:pStyle w:val="ListParagraph"/>
        <w:widowControl w:val="0"/>
        <w:numPr>
          <w:ilvl w:val="1"/>
          <w:numId w:val="5"/>
        </w:numPr>
        <w:tabs>
          <w:tab w:val="left" w:pos="1216"/>
        </w:tabs>
        <w:autoSpaceDE w:val="0"/>
        <w:autoSpaceDN w:val="0"/>
        <w:spacing w:before="121" w:after="0" w:line="240" w:lineRule="auto"/>
        <w:ind w:left="1215"/>
        <w:contextualSpacing w:val="0"/>
        <w:rPr>
          <w:i/>
        </w:rPr>
      </w:pPr>
      <w:r>
        <w:rPr>
          <w:i/>
        </w:rPr>
        <w:t>Independence/autonomy of the prosecution</w:t>
      </w:r>
      <w:r>
        <w:rPr>
          <w:i/>
          <w:spacing w:val="-2"/>
        </w:rPr>
        <w:t xml:space="preserve"> </w:t>
      </w:r>
      <w:r>
        <w:rPr>
          <w:i/>
        </w:rPr>
        <w:t>service</w:t>
      </w:r>
    </w:p>
    <w:p w14:paraId="62FAEB5E" w14:textId="77777777" w:rsidR="00C3343A" w:rsidRDefault="00C3343A" w:rsidP="00C3343A">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Independence of the Bar (chamber/association of lawyers) and of</w:t>
      </w:r>
      <w:r>
        <w:rPr>
          <w:i/>
          <w:spacing w:val="-7"/>
        </w:rPr>
        <w:t xml:space="preserve"> </w:t>
      </w:r>
      <w:r>
        <w:rPr>
          <w:i/>
        </w:rPr>
        <w:t>lawyers</w:t>
      </w:r>
    </w:p>
    <w:p w14:paraId="4F24514F" w14:textId="77777777" w:rsidR="00C3343A" w:rsidRDefault="00C3343A" w:rsidP="00C3343A">
      <w:pPr>
        <w:pStyle w:val="ListParagraph"/>
        <w:widowControl w:val="0"/>
        <w:numPr>
          <w:ilvl w:val="1"/>
          <w:numId w:val="5"/>
        </w:numPr>
        <w:tabs>
          <w:tab w:val="left" w:pos="1216"/>
        </w:tabs>
        <w:autoSpaceDE w:val="0"/>
        <w:autoSpaceDN w:val="0"/>
        <w:spacing w:before="120" w:after="0" w:line="240" w:lineRule="auto"/>
        <w:ind w:left="1215" w:right="287"/>
        <w:contextualSpacing w:val="0"/>
        <w:rPr>
          <w:i/>
        </w:rPr>
      </w:pPr>
      <w:r>
        <w:rPr>
          <w:i/>
        </w:rPr>
        <w:t>Significant developments capable of affecting the perception that the general public has of the independence of the</w:t>
      </w:r>
      <w:r>
        <w:rPr>
          <w:i/>
          <w:spacing w:val="-5"/>
        </w:rPr>
        <w:t xml:space="preserve"> </w:t>
      </w:r>
      <w:r>
        <w:rPr>
          <w:i/>
        </w:rPr>
        <w:t>judiciary</w:t>
      </w:r>
    </w:p>
    <w:p w14:paraId="3F502D93" w14:textId="77777777" w:rsidR="00C3343A" w:rsidRDefault="00C3343A" w:rsidP="00C3343A">
      <w:pPr>
        <w:pStyle w:val="Heading2"/>
        <w:numPr>
          <w:ilvl w:val="0"/>
          <w:numId w:val="5"/>
        </w:numPr>
        <w:tabs>
          <w:tab w:val="left" w:pos="543"/>
          <w:tab w:val="left" w:pos="544"/>
        </w:tabs>
        <w:spacing w:before="121"/>
        <w:ind w:left="543"/>
      </w:pPr>
      <w:bookmarkStart w:id="3" w:name="B._Quality_of_justice1F"/>
      <w:bookmarkEnd w:id="3"/>
      <w:r>
        <w:t>Quality of</w:t>
      </w:r>
      <w:r>
        <w:rPr>
          <w:spacing w:val="-6"/>
        </w:rPr>
        <w:t xml:space="preserve"> </w:t>
      </w:r>
      <w:r>
        <w:t>justice</w:t>
      </w:r>
      <w:r>
        <w:rPr>
          <w:rStyle w:val="FootnoteReference"/>
        </w:rPr>
        <w:footnoteReference w:id="2"/>
      </w:r>
    </w:p>
    <w:p w14:paraId="5A173631" w14:textId="0BE2239E" w:rsidR="004C1A32" w:rsidRDefault="00C3343A" w:rsidP="00ED710C">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t>Accessibility of courts (e.g. court fees, legal aid,</w:t>
      </w:r>
      <w:r>
        <w:rPr>
          <w:i/>
          <w:spacing w:val="-4"/>
        </w:rPr>
        <w:t xml:space="preserve"> </w:t>
      </w:r>
      <w:r>
        <w:rPr>
          <w:i/>
        </w:rPr>
        <w:t>language)</w:t>
      </w:r>
    </w:p>
    <w:p w14:paraId="7D7D0C1B" w14:textId="77777777" w:rsidR="00ED710C" w:rsidRPr="00ED710C" w:rsidRDefault="00ED710C" w:rsidP="00ED710C">
      <w:pPr>
        <w:widowControl w:val="0"/>
        <w:tabs>
          <w:tab w:val="left" w:pos="1217"/>
        </w:tabs>
        <w:autoSpaceDE w:val="0"/>
        <w:autoSpaceDN w:val="0"/>
        <w:spacing w:before="120" w:after="0" w:line="240" w:lineRule="auto"/>
        <w:rPr>
          <w:i/>
        </w:rPr>
      </w:pPr>
    </w:p>
    <w:p w14:paraId="538D7852" w14:textId="7D0CBE1D" w:rsidR="00B8500F" w:rsidRPr="00B8500F" w:rsidRDefault="00B8500F" w:rsidP="00B8500F">
      <w:pPr>
        <w:jc w:val="both"/>
      </w:pPr>
      <w:r>
        <w:t>T</w:t>
      </w:r>
      <w:r w:rsidRPr="00B8500F">
        <w:t xml:space="preserve">he Special Rapporteur on the implications for human rights of the environmentally sound management and disposal of hazardous substances and wastes </w:t>
      </w:r>
      <w:r>
        <w:t xml:space="preserve">in his 2018 </w:t>
      </w:r>
      <w:r w:rsidR="00A51B59">
        <w:t>r</w:t>
      </w:r>
      <w:r w:rsidRPr="00B8500F">
        <w:t>eport missio</w:t>
      </w:r>
      <w:r>
        <w:t>n to Denmark and Greenland stated that v</w:t>
      </w:r>
      <w:r w:rsidRPr="00B8500F">
        <w:t xml:space="preserve">ictims of transnational rights abuses perpetrated by businesses, in particular with respect to occupational exposure to toxic substances, face various obstacles in seeking effective remedy. The challenges include proving damages, establishing causality, high costs and, potentially, a lack of independence of judicial systems. </w:t>
      </w:r>
      <w:r w:rsidR="004778C6">
        <w:t xml:space="preserve">He pointed out that </w:t>
      </w:r>
      <w:r w:rsidR="00C52407">
        <w:t>S</w:t>
      </w:r>
      <w:r w:rsidRPr="00B8500F">
        <w:t>tates have a duty to address these and other extraterritorial impacts of businesses domiciled in the State’s territory or subject to its jurisdiction in order to prevent the denial of justice and ensure the right to effective remedy of victims abroad</w:t>
      </w:r>
      <w:r w:rsidR="00ED710C">
        <w:t xml:space="preserve"> (</w:t>
      </w:r>
      <w:hyperlink r:id="rId8" w:history="1">
        <w:r w:rsidR="004778C6" w:rsidRPr="00ED710C">
          <w:rPr>
            <w:rStyle w:val="Hyperlink"/>
          </w:rPr>
          <w:t>A/HRC/39/48/Add.2</w:t>
        </w:r>
      </w:hyperlink>
      <w:r w:rsidR="004778C6">
        <w:t>, para 33)</w:t>
      </w:r>
      <w:r w:rsidR="00ED710C">
        <w:t>.</w:t>
      </w:r>
    </w:p>
    <w:p w14:paraId="3D71BC58" w14:textId="3B43AFA8" w:rsidR="004778C6" w:rsidRDefault="00FB0D68" w:rsidP="004778C6">
      <w:pPr>
        <w:jc w:val="both"/>
        <w:rPr>
          <w:lang w:val="en-GB"/>
        </w:rPr>
      </w:pPr>
      <w:r w:rsidRPr="00476937">
        <w:rPr>
          <w:lang w:val="en-GB"/>
        </w:rPr>
        <w:t xml:space="preserve">In 2019, the UN Special Rapporteur on extrajudicial, summary or arbitrary executions </w:t>
      </w:r>
      <w:r w:rsidR="004C1A32">
        <w:rPr>
          <w:lang w:val="en-GB"/>
        </w:rPr>
        <w:t xml:space="preserve">initiated a dialogue with Denmark </w:t>
      </w:r>
      <w:r w:rsidRPr="00476937">
        <w:rPr>
          <w:lang w:val="en-GB"/>
        </w:rPr>
        <w:t xml:space="preserve">about the possible adoption of measures to exclude Danish nationals allegedly associated with the Islamic State of Iraq and the Levant (ISIL) and/or other similar groups, from accessing their right to consular assistance. The Special Rapporteur found that this </w:t>
      </w:r>
      <w:r w:rsidR="004C1A32">
        <w:rPr>
          <w:lang w:val="en-GB"/>
        </w:rPr>
        <w:t>was</w:t>
      </w:r>
      <w:r w:rsidR="004C1A32" w:rsidRPr="00476937">
        <w:rPr>
          <w:lang w:val="en-GB"/>
        </w:rPr>
        <w:t xml:space="preserve"> </w:t>
      </w:r>
      <w:r w:rsidRPr="00476937">
        <w:rPr>
          <w:lang w:val="en-GB"/>
        </w:rPr>
        <w:t xml:space="preserve">tantamount to potentially exposing them to torture and/or the unlawful imposition of the death penalty, potentially </w:t>
      </w:r>
      <w:r w:rsidRPr="00476937">
        <w:rPr>
          <w:lang w:val="en-GB"/>
        </w:rPr>
        <w:lastRenderedPageBreak/>
        <w:t>making Denmark complicit in an arbitrary killing</w:t>
      </w:r>
      <w:r w:rsidR="004C1A32">
        <w:rPr>
          <w:lang w:val="en-GB"/>
        </w:rPr>
        <w:t xml:space="preserve">. She recommended Denmark to </w:t>
      </w:r>
      <w:r w:rsidR="004C1A32" w:rsidRPr="004C1A32">
        <w:rPr>
          <w:lang w:val="en-GB"/>
        </w:rPr>
        <w:t xml:space="preserve">repatriate </w:t>
      </w:r>
      <w:r w:rsidR="004C1A32">
        <w:rPr>
          <w:lang w:val="en-GB"/>
        </w:rPr>
        <w:t xml:space="preserve">the nationals concerned </w:t>
      </w:r>
      <w:r w:rsidR="004C1A32" w:rsidRPr="004C1A32">
        <w:rPr>
          <w:lang w:val="en-GB"/>
        </w:rPr>
        <w:t>as soon as possible so that they can be tried in a manner consistent with international law</w:t>
      </w:r>
      <w:r w:rsidR="0009620E">
        <w:rPr>
          <w:lang w:val="en-GB"/>
        </w:rPr>
        <w:t xml:space="preserve">, which includes </w:t>
      </w:r>
      <w:r w:rsidR="0009620E" w:rsidRPr="0009620E">
        <w:rPr>
          <w:lang w:val="en-GB"/>
        </w:rPr>
        <w:t>adequate legal assistance at all stages of the proceedings</w:t>
      </w:r>
      <w:r w:rsidR="00ED710C">
        <w:rPr>
          <w:lang w:val="en-GB"/>
        </w:rPr>
        <w:t xml:space="preserve"> </w:t>
      </w:r>
      <w:r w:rsidRPr="00476937">
        <w:rPr>
          <w:lang w:val="en-GB"/>
        </w:rPr>
        <w:t>(</w:t>
      </w:r>
      <w:hyperlink r:id="rId9" w:history="1">
        <w:r w:rsidRPr="00476937">
          <w:rPr>
            <w:rStyle w:val="Hyperlink"/>
            <w:lang w:val="en-GB"/>
          </w:rPr>
          <w:t>AL DNK 3/2019</w:t>
        </w:r>
      </w:hyperlink>
      <w:r w:rsidR="00ED710C">
        <w:rPr>
          <w:rStyle w:val="Hyperlink"/>
          <w:lang w:val="en-GB"/>
        </w:rPr>
        <w:t xml:space="preserve">, </w:t>
      </w:r>
      <w:r w:rsidR="00ED710C">
        <w:rPr>
          <w:rFonts w:eastAsia="Calibri" w:cstheme="minorHAnsi"/>
          <w:bCs/>
          <w:lang w:val="en-GB"/>
        </w:rPr>
        <w:t>av</w:t>
      </w:r>
      <w:r w:rsidR="004C1A32" w:rsidRPr="002C7FB0">
        <w:rPr>
          <w:rFonts w:eastAsia="Calibri" w:cstheme="minorHAnsi"/>
          <w:bCs/>
          <w:lang w:val="en-GB"/>
        </w:rPr>
        <w:t xml:space="preserve">ailable at </w:t>
      </w:r>
      <w:hyperlink r:id="rId10" w:history="1">
        <w:r w:rsidR="004C1A32" w:rsidRPr="002C7FB0">
          <w:rPr>
            <w:rStyle w:val="Hyperlink"/>
            <w:rFonts w:eastAsia="Calibri" w:cstheme="minorHAnsi"/>
            <w:lang w:val="en-GB"/>
          </w:rPr>
          <w:t>https://spcommreports.ohchr.org/Tmsearch/TMDocuments</w:t>
        </w:r>
      </w:hyperlink>
      <w:r w:rsidR="004C1A32" w:rsidRPr="002C7FB0">
        <w:rPr>
          <w:rFonts w:eastAsia="Calibri" w:cstheme="minorHAnsi"/>
          <w:bCs/>
          <w:lang w:val="en-GB"/>
        </w:rPr>
        <w:t>)</w:t>
      </w:r>
      <w:r w:rsidRPr="00476937">
        <w:rPr>
          <w:lang w:val="en-GB"/>
        </w:rPr>
        <w:t>.</w:t>
      </w:r>
      <w:r w:rsidRPr="00476937">
        <w:rPr>
          <w:lang w:val="en-GB"/>
        </w:rPr>
        <w:cr/>
      </w:r>
      <w:bookmarkStart w:id="5" w:name="_Hlk64034044"/>
      <w:bookmarkStart w:id="6" w:name="_Hlk64034227"/>
    </w:p>
    <w:p w14:paraId="521923B3" w14:textId="1679DD75" w:rsidR="00A51B59" w:rsidRDefault="004778C6" w:rsidP="00ED710C">
      <w:pPr>
        <w:spacing w:after="0"/>
        <w:jc w:val="both"/>
        <w:rPr>
          <w:lang w:val="en-GB"/>
        </w:rPr>
      </w:pPr>
      <w:r>
        <w:t>In February 2021</w:t>
      </w:r>
      <w:r w:rsidR="00A51B59">
        <w:t xml:space="preserve">, </w:t>
      </w:r>
      <w:r w:rsidRPr="004778C6">
        <w:t>UN Human Rights experts call</w:t>
      </w:r>
      <w:r>
        <w:t>ed</w:t>
      </w:r>
      <w:r w:rsidRPr="004778C6">
        <w:t xml:space="preserve"> </w:t>
      </w:r>
      <w:r w:rsidR="00C52407">
        <w:t>on</w:t>
      </w:r>
      <w:bookmarkStart w:id="7" w:name="_GoBack"/>
      <w:bookmarkEnd w:id="7"/>
      <w:r w:rsidRPr="004778C6">
        <w:t xml:space="preserve"> 57 countries, including Denmark to repatriate women and children from ca</w:t>
      </w:r>
      <w:r>
        <w:t xml:space="preserve">mps in northeast Syrian camps. </w:t>
      </w:r>
      <w:r w:rsidRPr="004778C6">
        <w:t>The experts recall</w:t>
      </w:r>
      <w:r>
        <w:t>ed</w:t>
      </w:r>
      <w:r w:rsidRPr="004778C6">
        <w:t xml:space="preserve"> the </w:t>
      </w:r>
      <w:r w:rsidRPr="00A51B59">
        <w:t>urgent need for justice, truth and reparation</w:t>
      </w:r>
      <w:r w:rsidRPr="004778C6">
        <w:t xml:space="preserve"> for all of the victims of the very serious violations of human rights and humanitarian law that have occurred in the region. In that context, the continued detention, on unclear grounds, of women and children in the camps is a matter of grave concern and undermines the progression of accountability, truth and justice.</w:t>
      </w:r>
      <w:r>
        <w:t xml:space="preserve"> </w:t>
      </w:r>
      <w:r w:rsidRPr="004778C6">
        <w:rPr>
          <w:lang w:val="en-GB"/>
        </w:rPr>
        <w:t xml:space="preserve">The experts said they were gravely concerned that the exercise, reportedly to evaluate security threats, </w:t>
      </w:r>
      <w:r w:rsidRPr="00A51B59">
        <w:rPr>
          <w:lang w:val="en-GB"/>
        </w:rPr>
        <w:t>lacked regard for basic principles of due process</w:t>
      </w:r>
      <w:r w:rsidRPr="004778C6">
        <w:rPr>
          <w:lang w:val="en-GB"/>
        </w:rPr>
        <w:t xml:space="preserve"> and solely targeted families with alleged links to foreign ISIL fighters, including women and children, who already suffer from heightened discrimination, marginalisation and abuse on the basis of their all</w:t>
      </w:r>
      <w:r>
        <w:rPr>
          <w:lang w:val="en-GB"/>
        </w:rPr>
        <w:t>eged affiliation with the group, available at:</w:t>
      </w:r>
      <w:r w:rsidR="00A51B59">
        <w:rPr>
          <w:lang w:val="en-GB"/>
        </w:rPr>
        <w:t xml:space="preserve"> </w:t>
      </w:r>
    </w:p>
    <w:p w14:paraId="3A83B4D1" w14:textId="74FE1283" w:rsidR="004778C6" w:rsidRPr="00A51B59" w:rsidRDefault="005B4349" w:rsidP="00ED710C">
      <w:pPr>
        <w:spacing w:after="0"/>
        <w:jc w:val="both"/>
        <w:rPr>
          <w:lang w:val="en-GB"/>
        </w:rPr>
      </w:pPr>
      <w:hyperlink r:id="rId11" w:history="1">
        <w:r w:rsidR="004778C6" w:rsidRPr="004778C6">
          <w:rPr>
            <w:rStyle w:val="Hyperlink"/>
          </w:rPr>
          <w:t>https://www.ohchr.org/EN/NewsEvents/Pages/DisplayNews.aspx?NewsID=26730</w:t>
        </w:r>
      </w:hyperlink>
      <w:r w:rsidR="004778C6" w:rsidRPr="004778C6">
        <w:t xml:space="preserve"> </w:t>
      </w:r>
    </w:p>
    <w:p w14:paraId="650DD0E0" w14:textId="41F85977" w:rsidR="00FB0D68" w:rsidRPr="00A51B59" w:rsidRDefault="00FB0D68" w:rsidP="00476937">
      <w:pPr>
        <w:jc w:val="both"/>
      </w:pPr>
    </w:p>
    <w:bookmarkEnd w:id="5"/>
    <w:bookmarkEnd w:id="6"/>
    <w:p w14:paraId="1C5D24D4" w14:textId="77777777" w:rsidR="00C3343A" w:rsidRDefault="00C3343A" w:rsidP="00C3343A">
      <w:pPr>
        <w:pStyle w:val="ListParagraph"/>
        <w:widowControl w:val="0"/>
        <w:numPr>
          <w:ilvl w:val="0"/>
          <w:numId w:val="4"/>
        </w:numPr>
        <w:tabs>
          <w:tab w:val="left" w:pos="1217"/>
        </w:tabs>
        <w:autoSpaceDE w:val="0"/>
        <w:autoSpaceDN w:val="0"/>
        <w:spacing w:before="118" w:after="0" w:line="240" w:lineRule="auto"/>
        <w:ind w:hanging="362"/>
        <w:contextualSpacing w:val="0"/>
        <w:rPr>
          <w:i/>
        </w:rPr>
      </w:pPr>
      <w:r>
        <w:rPr>
          <w:i/>
        </w:rPr>
        <w:t>Resources of the judiciary</w:t>
      </w:r>
      <w:r>
        <w:rPr>
          <w:i/>
          <w:spacing w:val="-2"/>
        </w:rPr>
        <w:t xml:space="preserve"> </w:t>
      </w:r>
      <w:r>
        <w:rPr>
          <w:i/>
        </w:rPr>
        <w:t>(human/financial/material</w:t>
      </w:r>
      <w:r>
        <w:rPr>
          <w:rStyle w:val="FootnoteReference"/>
          <w:i/>
        </w:rPr>
        <w:footnoteReference w:id="3"/>
      </w:r>
      <w:r>
        <w:rPr>
          <w:i/>
        </w:rPr>
        <w:t>)</w:t>
      </w:r>
    </w:p>
    <w:p w14:paraId="3C5AAAB1" w14:textId="4F6FAC51" w:rsidR="00C3343A" w:rsidRDefault="00C3343A" w:rsidP="00C3343A">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Training of justice professionals (including judges, prosecutors, lawyers, court</w:t>
      </w:r>
      <w:r>
        <w:rPr>
          <w:i/>
          <w:spacing w:val="-15"/>
        </w:rPr>
        <w:t xml:space="preserve"> </w:t>
      </w:r>
      <w:r>
        <w:rPr>
          <w:i/>
        </w:rPr>
        <w:t>staff)</w:t>
      </w:r>
    </w:p>
    <w:p w14:paraId="74F9B323" w14:textId="1F0CC097" w:rsidR="00A373B2" w:rsidRPr="00A373B2" w:rsidRDefault="004778C6" w:rsidP="00A51B59">
      <w:pPr>
        <w:widowControl w:val="0"/>
        <w:tabs>
          <w:tab w:val="left" w:pos="1216"/>
        </w:tabs>
        <w:autoSpaceDE w:val="0"/>
        <w:autoSpaceDN w:val="0"/>
        <w:spacing w:before="120" w:after="0" w:line="240" w:lineRule="auto"/>
        <w:jc w:val="both"/>
      </w:pPr>
      <w:r>
        <w:t xml:space="preserve">The </w:t>
      </w:r>
      <w:r w:rsidR="00ED710C">
        <w:t xml:space="preserve">UN </w:t>
      </w:r>
      <w:r w:rsidRPr="004778C6">
        <w:t>Committee on Economic, Social and Cultural Rights</w:t>
      </w:r>
      <w:r>
        <w:t xml:space="preserve"> in its 2019 concluding observations </w:t>
      </w:r>
      <w:r w:rsidR="00A373B2">
        <w:t>recommended that</w:t>
      </w:r>
      <w:r w:rsidR="00A373B2" w:rsidRPr="00A373B2">
        <w:t xml:space="preserve"> in the planned legal reform of criminal law, </w:t>
      </w:r>
      <w:r w:rsidR="00A373B2">
        <w:t>Denmark a</w:t>
      </w:r>
      <w:r w:rsidR="00A373B2" w:rsidRPr="00A373B2">
        <w:t>ddress barriers to reporting, investigation and prosecution of sexual violence, including by strengthening the capacity of the police, prosecutors and judges on the relevant criminal provisions and gender-sensitive investigations of sexual violence</w:t>
      </w:r>
      <w:r w:rsidR="00A373B2">
        <w:t xml:space="preserve"> (</w:t>
      </w:r>
      <w:hyperlink r:id="rId12" w:history="1">
        <w:r w:rsidR="00A373B2" w:rsidRPr="00ED710C">
          <w:rPr>
            <w:rStyle w:val="Hyperlink"/>
          </w:rPr>
          <w:t>E/C.12/DNK/CO/6</w:t>
        </w:r>
      </w:hyperlink>
      <w:r w:rsidR="00A373B2">
        <w:t>, para 44)</w:t>
      </w:r>
    </w:p>
    <w:tbl>
      <w:tblPr>
        <w:tblStyle w:val="TableGrid"/>
        <w:tblpPr w:leftFromText="142" w:rightFromText="142" w:vertAnchor="page" w:horzAnchor="page" w:tblpX="1134" w:tblpY="284"/>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9639"/>
      </w:tblGrid>
      <w:tr w:rsidR="00A373B2" w:rsidRPr="00A373B2" w14:paraId="6025A8FD" w14:textId="77777777" w:rsidTr="00790E91">
        <w:trPr>
          <w:cantSplit/>
          <w:trHeight w:hRule="exact" w:val="851"/>
        </w:trPr>
        <w:tc>
          <w:tcPr>
            <w:tcW w:w="6095" w:type="dxa"/>
            <w:tcBorders>
              <w:bottom w:val="single" w:sz="4" w:space="0" w:color="auto"/>
            </w:tcBorders>
            <w:vAlign w:val="bottom"/>
          </w:tcPr>
          <w:p w14:paraId="2A5A2AB8" w14:textId="77777777" w:rsidR="00A373B2" w:rsidRPr="00A373B2" w:rsidRDefault="00A373B2" w:rsidP="00A51B59">
            <w:pPr>
              <w:pStyle w:val="ListParagraph"/>
              <w:widowControl w:val="0"/>
              <w:tabs>
                <w:tab w:val="left" w:pos="1216"/>
              </w:tabs>
              <w:autoSpaceDE w:val="0"/>
              <w:autoSpaceDN w:val="0"/>
              <w:spacing w:before="120"/>
              <w:ind w:left="1215"/>
              <w:jc w:val="both"/>
              <w:rPr>
                <w:lang w:val="en-GB"/>
              </w:rPr>
            </w:pPr>
            <w:r w:rsidRPr="00A373B2">
              <w:rPr>
                <w:lang w:val="en-GB"/>
              </w:rPr>
              <w:t>E/C.12/DNK/CO/6</w:t>
            </w:r>
          </w:p>
        </w:tc>
      </w:tr>
    </w:tbl>
    <w:p w14:paraId="0A3278F8" w14:textId="17536295" w:rsidR="004778C6" w:rsidRPr="00A51B59" w:rsidRDefault="004778C6" w:rsidP="00A51B59">
      <w:pPr>
        <w:pStyle w:val="ListParagraph"/>
        <w:widowControl w:val="0"/>
        <w:tabs>
          <w:tab w:val="left" w:pos="1216"/>
        </w:tabs>
        <w:autoSpaceDE w:val="0"/>
        <w:autoSpaceDN w:val="0"/>
        <w:spacing w:before="120" w:after="0" w:line="240" w:lineRule="auto"/>
        <w:ind w:left="1215"/>
        <w:contextualSpacing w:val="0"/>
        <w:jc w:val="both"/>
      </w:pPr>
    </w:p>
    <w:p w14:paraId="7D531254" w14:textId="77777777" w:rsidR="00C3343A" w:rsidRDefault="00C3343A" w:rsidP="00C3343A">
      <w:pPr>
        <w:pStyle w:val="ListParagraph"/>
        <w:widowControl w:val="0"/>
        <w:numPr>
          <w:ilvl w:val="0"/>
          <w:numId w:val="4"/>
        </w:numPr>
        <w:tabs>
          <w:tab w:val="left" w:pos="1216"/>
        </w:tabs>
        <w:autoSpaceDE w:val="0"/>
        <w:autoSpaceDN w:val="0"/>
        <w:spacing w:before="120" w:after="0" w:line="240" w:lineRule="auto"/>
        <w:ind w:left="1215" w:right="239" w:hanging="360"/>
        <w:contextualSpacing w:val="0"/>
        <w:rPr>
          <w:i/>
        </w:rPr>
      </w:pPr>
      <w:r>
        <w:rPr>
          <w:i/>
        </w:rPr>
        <w:t>Digitalisation (e.g. use of digital technology, particularly electronic communication tools, within the justice system and with court users, including resilience of justice systems in COVID-19</w:t>
      </w:r>
      <w:r>
        <w:rPr>
          <w:i/>
          <w:spacing w:val="1"/>
        </w:rPr>
        <w:t xml:space="preserve"> </w:t>
      </w:r>
      <w:r>
        <w:rPr>
          <w:i/>
        </w:rPr>
        <w:t>pandemic)</w:t>
      </w:r>
      <w:r>
        <w:rPr>
          <w:rStyle w:val="FootnoteReference"/>
          <w:i/>
        </w:rPr>
        <w:footnoteReference w:id="4"/>
      </w:r>
      <w:r>
        <w:rPr>
          <w:i/>
        </w:rPr>
        <w:t xml:space="preserve"> </w:t>
      </w:r>
    </w:p>
    <w:p w14:paraId="76F30C09"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left="1215" w:right="409" w:hanging="360"/>
        <w:contextualSpacing w:val="0"/>
        <w:rPr>
          <w:i/>
        </w:rPr>
      </w:pPr>
      <w:r>
        <w:rPr>
          <w:i/>
        </w:rPr>
        <w:t>Use of assessment tools and standards (e.g. ICT systems for case management, court statistics and their transparency, monitoring, evaluation, surveys among court users or legal</w:t>
      </w:r>
      <w:r>
        <w:rPr>
          <w:i/>
          <w:spacing w:val="-1"/>
        </w:rPr>
        <w:t xml:space="preserve"> </w:t>
      </w:r>
      <w:r>
        <w:rPr>
          <w:i/>
        </w:rPr>
        <w:t>professionals)</w:t>
      </w:r>
    </w:p>
    <w:p w14:paraId="6521A848"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left="1215" w:right="425" w:hanging="360"/>
        <w:contextualSpacing w:val="0"/>
        <w:rPr>
          <w:i/>
        </w:rPr>
      </w:pPr>
      <w:r>
        <w:rPr>
          <w:i/>
        </w:rPr>
        <w:t>Geographical distribution and number of courts/jurisdictions (“judicial map”) and their specialisation</w:t>
      </w:r>
    </w:p>
    <w:p w14:paraId="5741CB77" w14:textId="77777777" w:rsidR="00C3343A" w:rsidRDefault="00C3343A" w:rsidP="00C3343A">
      <w:pPr>
        <w:pStyle w:val="Heading2"/>
        <w:numPr>
          <w:ilvl w:val="0"/>
          <w:numId w:val="5"/>
        </w:numPr>
        <w:tabs>
          <w:tab w:val="left" w:pos="543"/>
          <w:tab w:val="left" w:pos="544"/>
        </w:tabs>
        <w:spacing w:before="118"/>
        <w:ind w:left="543"/>
      </w:pPr>
      <w:bookmarkStart w:id="8" w:name="C._Efficiency_of_the_justice_system4F"/>
      <w:bookmarkEnd w:id="8"/>
      <w:r>
        <w:t>Efficiency of the justice</w:t>
      </w:r>
      <w:r>
        <w:rPr>
          <w:spacing w:val="-8"/>
        </w:rPr>
        <w:t xml:space="preserve"> </w:t>
      </w:r>
      <w:r>
        <w:t>system</w:t>
      </w:r>
      <w:r>
        <w:rPr>
          <w:rStyle w:val="FootnoteReference"/>
        </w:rPr>
        <w:footnoteReference w:id="5"/>
      </w:r>
    </w:p>
    <w:p w14:paraId="122770FF"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t>Length of</w:t>
      </w:r>
      <w:r>
        <w:rPr>
          <w:i/>
          <w:spacing w:val="-2"/>
        </w:rPr>
        <w:t xml:space="preserve"> </w:t>
      </w:r>
      <w:r>
        <w:rPr>
          <w:i/>
        </w:rPr>
        <w:t>proceedings</w:t>
      </w:r>
    </w:p>
    <w:p w14:paraId="0E26952C" w14:textId="77777777" w:rsidR="00C3343A" w:rsidRDefault="00C3343A" w:rsidP="00C3343A">
      <w:pPr>
        <w:pStyle w:val="Heading2"/>
        <w:spacing w:before="33"/>
        <w:ind w:left="116" w:firstLine="0"/>
      </w:pPr>
    </w:p>
    <w:p w14:paraId="793564BD" w14:textId="1367F8F2" w:rsidR="00C3343A" w:rsidRDefault="00C3343A" w:rsidP="00C3343A">
      <w:pPr>
        <w:pStyle w:val="Heading2"/>
        <w:spacing w:before="33"/>
        <w:ind w:left="116" w:firstLine="0"/>
      </w:pPr>
      <w:r>
        <w:t>Other – please specify</w:t>
      </w:r>
    </w:p>
    <w:p w14:paraId="16C60833" w14:textId="46354D6A" w:rsidR="004A6F48" w:rsidRDefault="004A6F48" w:rsidP="00C3343A">
      <w:pPr>
        <w:pStyle w:val="Heading2"/>
        <w:spacing w:before="33"/>
        <w:ind w:left="116" w:firstLine="0"/>
      </w:pPr>
    </w:p>
    <w:p w14:paraId="26DF9517" w14:textId="4E93B2E5" w:rsidR="004A6F48" w:rsidRPr="00A51B59" w:rsidRDefault="00154E99" w:rsidP="00A51B59">
      <w:pPr>
        <w:pStyle w:val="ListParagraph"/>
        <w:numPr>
          <w:ilvl w:val="0"/>
          <w:numId w:val="7"/>
        </w:numPr>
        <w:jc w:val="both"/>
        <w:rPr>
          <w:rFonts w:cstheme="minorHAnsi"/>
          <w:b/>
          <w:bCs/>
          <w:i/>
        </w:rPr>
      </w:pPr>
      <w:r w:rsidRPr="00A51B59">
        <w:rPr>
          <w:b/>
          <w:bCs/>
          <w:i/>
          <w:lang w:val="en-GB"/>
        </w:rPr>
        <w:lastRenderedPageBreak/>
        <w:t xml:space="preserve">Impact of the </w:t>
      </w:r>
      <w:r w:rsidR="004A6F48" w:rsidRPr="00A51B59">
        <w:rPr>
          <w:b/>
          <w:bCs/>
          <w:i/>
          <w:lang w:val="en-GB"/>
        </w:rPr>
        <w:t>“Ghetto Package”</w:t>
      </w:r>
      <w:r w:rsidRPr="00A51B59">
        <w:rPr>
          <w:b/>
          <w:bCs/>
          <w:i/>
          <w:lang w:val="en-GB"/>
        </w:rPr>
        <w:t xml:space="preserve"> on equal treatment before the courts</w:t>
      </w:r>
    </w:p>
    <w:p w14:paraId="05E7C0E4" w14:textId="003EF5A1" w:rsidR="004A6F48" w:rsidRPr="00ED710C" w:rsidRDefault="00A80593" w:rsidP="00ED710C">
      <w:pPr>
        <w:jc w:val="both"/>
        <w:rPr>
          <w:rFonts w:cstheme="minorHAnsi"/>
        </w:rPr>
      </w:pPr>
      <w:r w:rsidRPr="00B836AA">
        <w:rPr>
          <w:rFonts w:cstheme="minorHAnsi"/>
        </w:rPr>
        <w:t xml:space="preserve">In October 2020, a number of UN Special Procedures initiated a dialogue with Denmark on the so-called </w:t>
      </w:r>
      <w:r w:rsidRPr="00FB2E2D">
        <w:rPr>
          <w:rFonts w:cstheme="minorHAnsi"/>
        </w:rPr>
        <w:t xml:space="preserve">‘ghetto package’, </w:t>
      </w:r>
      <w:r w:rsidRPr="00FB2E2D">
        <w:rPr>
          <w:rFonts w:cstheme="minorHAnsi"/>
          <w:lang w:val="en-GB"/>
        </w:rPr>
        <w:t xml:space="preserve">a series of laws and amendments adopted in 2018 providing for </w:t>
      </w:r>
      <w:r w:rsidRPr="00FB2E2D">
        <w:rPr>
          <w:rFonts w:cstheme="minorHAnsi"/>
        </w:rPr>
        <w:t>differential treatment on grounds such as national origin, social status and residence</w:t>
      </w:r>
      <w:r w:rsidRPr="00FB2E2D">
        <w:rPr>
          <w:rFonts w:cstheme="minorHAnsi"/>
          <w:lang w:val="en-GB"/>
        </w:rPr>
        <w:t>, whereby the Government can designate certain neighborhoods as “ghettos” or “tough ghettos” on the basis of the percentage of “non-Western” immigrants and descendants</w:t>
      </w:r>
      <w:r w:rsidRPr="00FB2E2D">
        <w:rPr>
          <w:rFonts w:cstheme="minorHAnsi"/>
        </w:rPr>
        <w:t xml:space="preserve">. Deep concerns of </w:t>
      </w:r>
      <w:r w:rsidRPr="00FB2E2D">
        <w:rPr>
          <w:rFonts w:cstheme="minorHAnsi"/>
          <w:lang w:val="en-GB"/>
        </w:rPr>
        <w:t>discrimination based on protected grounds</w:t>
      </w:r>
      <w:r w:rsidRPr="00FB2E2D">
        <w:rPr>
          <w:rFonts w:cstheme="minorHAnsi"/>
        </w:rPr>
        <w:t xml:space="preserve"> had previously b</w:t>
      </w:r>
      <w:r w:rsidR="00A51B59">
        <w:rPr>
          <w:rFonts w:cstheme="minorHAnsi"/>
        </w:rPr>
        <w:t xml:space="preserve">een expressed by the </w:t>
      </w:r>
      <w:r w:rsidRPr="00FB2E2D">
        <w:rPr>
          <w:rFonts w:cstheme="minorHAnsi"/>
        </w:rPr>
        <w:t xml:space="preserve">UN Committee on Economic, Social and Cultural Rights </w:t>
      </w:r>
      <w:r>
        <w:rPr>
          <w:rFonts w:cstheme="minorHAnsi"/>
        </w:rPr>
        <w:t>i</w:t>
      </w:r>
      <w:r w:rsidR="004A6F48" w:rsidRPr="003C27D4">
        <w:rPr>
          <w:rFonts w:cstheme="minorHAnsi"/>
        </w:rPr>
        <w:t xml:space="preserve">n </w:t>
      </w:r>
      <w:r w:rsidR="00154E99">
        <w:rPr>
          <w:rFonts w:cstheme="minorHAnsi"/>
        </w:rPr>
        <w:t xml:space="preserve">its </w:t>
      </w:r>
      <w:r w:rsidR="004A6F48" w:rsidRPr="003C27D4">
        <w:rPr>
          <w:rFonts w:cstheme="minorHAnsi"/>
        </w:rPr>
        <w:t>2019</w:t>
      </w:r>
      <w:r w:rsidR="00154E99">
        <w:rPr>
          <w:rFonts w:cstheme="minorHAnsi"/>
        </w:rPr>
        <w:t xml:space="preserve"> concluding observations</w:t>
      </w:r>
      <w:r w:rsidR="00ED710C">
        <w:rPr>
          <w:rFonts w:cstheme="minorHAnsi"/>
        </w:rPr>
        <w:t xml:space="preserve"> </w:t>
      </w:r>
      <w:r w:rsidR="004A6F48" w:rsidRPr="003C27D4">
        <w:rPr>
          <w:rFonts w:cstheme="minorHAnsi"/>
        </w:rPr>
        <w:t>(</w:t>
      </w:r>
      <w:hyperlink r:id="rId13" w:history="1">
        <w:r w:rsidR="004A6F48" w:rsidRPr="003C27D4">
          <w:rPr>
            <w:rStyle w:val="Hyperlink"/>
            <w:rFonts w:cstheme="minorHAnsi"/>
          </w:rPr>
          <w:t>E/C.12/DNK/CO/6</w:t>
        </w:r>
      </w:hyperlink>
      <w:r w:rsidR="00A373B2">
        <w:rPr>
          <w:rStyle w:val="Hyperlink"/>
          <w:rFonts w:cstheme="minorHAnsi"/>
        </w:rPr>
        <w:t>,</w:t>
      </w:r>
      <w:r w:rsidR="004A6F48" w:rsidRPr="003C27D4">
        <w:rPr>
          <w:rFonts w:cstheme="minorHAnsi"/>
        </w:rPr>
        <w:t xml:space="preserve"> para 23)</w:t>
      </w:r>
      <w:r w:rsidR="004A6F48">
        <w:rPr>
          <w:rFonts w:cstheme="minorHAnsi"/>
        </w:rPr>
        <w:t xml:space="preserve">. </w:t>
      </w:r>
      <w:r w:rsidRPr="00B836AA">
        <w:rPr>
          <w:rFonts w:cstheme="minorHAnsi"/>
        </w:rPr>
        <w:t xml:space="preserve">In their 2020 communication, the </w:t>
      </w:r>
      <w:r w:rsidR="00ED710C">
        <w:rPr>
          <w:rFonts w:cstheme="minorHAnsi"/>
        </w:rPr>
        <w:t xml:space="preserve">UN </w:t>
      </w:r>
      <w:r w:rsidRPr="00B836AA">
        <w:rPr>
          <w:rFonts w:cstheme="minorHAnsi"/>
        </w:rPr>
        <w:t xml:space="preserve">Special Procedures </w:t>
      </w:r>
      <w:r w:rsidRPr="00FB2E2D">
        <w:rPr>
          <w:rFonts w:cstheme="minorHAnsi"/>
        </w:rPr>
        <w:t>notably raised a</w:t>
      </w:r>
      <w:r w:rsidR="004A6F48">
        <w:t>mendments to the Danish Penal Code that entered into force in January 2019 enabl</w:t>
      </w:r>
      <w:r w:rsidR="00154E99">
        <w:t>ing</w:t>
      </w:r>
      <w:r w:rsidR="004A6F48">
        <w:t xml:space="preserve"> police to designate areas with high crime rates as “enhanced punishment zones”, </w:t>
      </w:r>
      <w:r>
        <w:t>di</w:t>
      </w:r>
      <w:r w:rsidR="004A6F48">
        <w:t>sproportionately applying to “ghetto” neighborhoods. P</w:t>
      </w:r>
      <w:r w:rsidR="004A6F48" w:rsidRPr="00AD3F00">
        <w:rPr>
          <w:lang w:val="en-GB"/>
        </w:rPr>
        <w:t>eople convicted of crimes there generally face sentences twice as long as individuals committing the same crimes elsewhere</w:t>
      </w:r>
      <w:r w:rsidRPr="00FB2E2D">
        <w:rPr>
          <w:rFonts w:cstheme="minorHAnsi"/>
          <w:lang w:val="en-GB"/>
        </w:rPr>
        <w:t>, while for crimes already punished by a long sentence of imprisonment, the enhanced punishment zone increases the sentence by one-third</w:t>
      </w:r>
      <w:r w:rsidR="004A6F48">
        <w:rPr>
          <w:lang w:val="en-GB"/>
        </w:rPr>
        <w:t xml:space="preserve">. </w:t>
      </w:r>
      <w:r w:rsidR="004A6F48">
        <w:t>The UN Special Procedures mandates found that t</w:t>
      </w:r>
      <w:r w:rsidR="004A6F48" w:rsidRPr="008B7728">
        <w:t xml:space="preserve">he application of these laws targeting racial, ethnic, and religious minorities </w:t>
      </w:r>
      <w:r w:rsidR="009E4679">
        <w:t>was</w:t>
      </w:r>
      <w:r w:rsidR="009E4679" w:rsidRPr="008B7728">
        <w:t xml:space="preserve"> </w:t>
      </w:r>
      <w:r w:rsidR="004A6F48" w:rsidRPr="008B7728">
        <w:t>a clear violation of the right of equality before the law and equal treatment before tribunals</w:t>
      </w:r>
      <w:r w:rsidR="00A51B59">
        <w:t xml:space="preserve"> </w:t>
      </w:r>
      <w:r w:rsidR="004A6F48" w:rsidRPr="00651B8C">
        <w:t>(</w:t>
      </w:r>
      <w:hyperlink r:id="rId14" w:history="1">
        <w:r w:rsidR="004A6F48" w:rsidRPr="00651B8C">
          <w:rPr>
            <w:rStyle w:val="Hyperlink"/>
          </w:rPr>
          <w:t>UA DNK 3/2020</w:t>
        </w:r>
      </w:hyperlink>
      <w:r w:rsidR="009E4679" w:rsidRPr="00651B8C">
        <w:rPr>
          <w:rStyle w:val="Hyperlink"/>
        </w:rPr>
        <w:t xml:space="preserve"> </w:t>
      </w:r>
      <w:r w:rsidR="00A51B59">
        <w:rPr>
          <w:rFonts w:eastAsia="Calibri" w:cstheme="minorHAnsi"/>
          <w:bCs/>
          <w:lang w:val="en-GB"/>
        </w:rPr>
        <w:t>available at</w:t>
      </w:r>
      <w:r w:rsidR="009E4679" w:rsidRPr="002C7FB0">
        <w:rPr>
          <w:rFonts w:eastAsia="Calibri" w:cstheme="minorHAnsi"/>
          <w:bCs/>
          <w:lang w:val="en-GB"/>
        </w:rPr>
        <w:t xml:space="preserve"> </w:t>
      </w:r>
      <w:hyperlink r:id="rId15" w:history="1">
        <w:r w:rsidR="009E4679" w:rsidRPr="002C7FB0">
          <w:rPr>
            <w:rStyle w:val="Hyperlink"/>
            <w:rFonts w:eastAsia="Calibri" w:cstheme="minorHAnsi"/>
            <w:lang w:val="en-GB"/>
          </w:rPr>
          <w:t>https://spcommreports.ohchr.org/Tmsearch/TMDocuments</w:t>
        </w:r>
      </w:hyperlink>
      <w:r w:rsidR="00A51B59">
        <w:t>,</w:t>
      </w:r>
      <w:r w:rsidR="00ED710C">
        <w:t xml:space="preserve"> see also </w:t>
      </w:r>
      <w:hyperlink r:id="rId16" w:history="1">
        <w:r w:rsidR="004A6F48" w:rsidRPr="00651B8C">
          <w:rPr>
            <w:rStyle w:val="Hyperlink"/>
          </w:rPr>
          <w:t>https://www.ohchr.org/EN/NewsEvents/Pages/DisplayNews.aspx?NewsID=26414&amp;LangID=E</w:t>
        </w:r>
      </w:hyperlink>
      <w:r w:rsidR="004A6F48" w:rsidRPr="00651B8C">
        <w:t>)</w:t>
      </w:r>
      <w:r w:rsidR="00ED710C">
        <w:t>.</w:t>
      </w:r>
    </w:p>
    <w:p w14:paraId="1066A9DD" w14:textId="77777777" w:rsidR="00C3343A" w:rsidRPr="00651B8C" w:rsidRDefault="00C3343A" w:rsidP="00C3343A">
      <w:pPr>
        <w:pStyle w:val="BodyText"/>
        <w:spacing w:before="7"/>
        <w:ind w:left="0" w:firstLine="0"/>
        <w:rPr>
          <w:b/>
        </w:rPr>
      </w:pPr>
    </w:p>
    <w:p w14:paraId="4D8F38DC" w14:textId="77777777" w:rsidR="00C3343A" w:rsidRDefault="00C3343A" w:rsidP="00C3343A">
      <w:pPr>
        <w:pStyle w:val="ListParagraph"/>
        <w:widowControl w:val="0"/>
        <w:numPr>
          <w:ilvl w:val="0"/>
          <w:numId w:val="6"/>
        </w:numPr>
        <w:shd w:val="clear" w:color="auto" w:fill="E7E6E6" w:themeFill="background2"/>
        <w:tabs>
          <w:tab w:val="left" w:pos="480"/>
        </w:tabs>
        <w:autoSpaceDE w:val="0"/>
        <w:autoSpaceDN w:val="0"/>
        <w:spacing w:after="0" w:line="240" w:lineRule="auto"/>
        <w:ind w:left="479" w:hanging="364"/>
        <w:contextualSpacing w:val="0"/>
        <w:rPr>
          <w:b/>
        </w:rPr>
      </w:pPr>
      <w:bookmarkStart w:id="9" w:name="II._Anti-corruption_framework"/>
      <w:bookmarkEnd w:id="9"/>
      <w:r>
        <w:rPr>
          <w:b/>
        </w:rPr>
        <w:t>Anti-corruption</w:t>
      </w:r>
      <w:r>
        <w:rPr>
          <w:b/>
          <w:spacing w:val="-2"/>
        </w:rPr>
        <w:t xml:space="preserve"> </w:t>
      </w:r>
      <w:r>
        <w:rPr>
          <w:b/>
        </w:rPr>
        <w:t>framework</w:t>
      </w:r>
    </w:p>
    <w:p w14:paraId="0A8524E5" w14:textId="77777777" w:rsidR="00C3343A" w:rsidRDefault="00C3343A" w:rsidP="00C3343A">
      <w:pPr>
        <w:pStyle w:val="BodyText"/>
        <w:spacing w:before="1"/>
        <w:ind w:left="0" w:firstLine="0"/>
        <w:rPr>
          <w:b/>
          <w:i w:val="0"/>
          <w:sz w:val="19"/>
        </w:rPr>
      </w:pPr>
    </w:p>
    <w:p w14:paraId="30E517EB" w14:textId="77777777" w:rsidR="00C3343A" w:rsidRDefault="00C3343A" w:rsidP="00C3343A">
      <w:pPr>
        <w:pStyle w:val="ListParagraph"/>
        <w:widowControl w:val="0"/>
        <w:numPr>
          <w:ilvl w:val="0"/>
          <w:numId w:val="3"/>
        </w:numPr>
        <w:tabs>
          <w:tab w:val="left" w:pos="543"/>
          <w:tab w:val="left" w:pos="545"/>
        </w:tabs>
        <w:autoSpaceDE w:val="0"/>
        <w:autoSpaceDN w:val="0"/>
        <w:spacing w:after="0" w:line="240" w:lineRule="auto"/>
        <w:ind w:hanging="429"/>
        <w:contextualSpacing w:val="0"/>
        <w:rPr>
          <w:b/>
          <w:i/>
        </w:rPr>
      </w:pPr>
      <w:bookmarkStart w:id="10" w:name="A._The_institutional_framework_capacity_"/>
      <w:bookmarkEnd w:id="10"/>
      <w:r>
        <w:rPr>
          <w:b/>
          <w:i/>
        </w:rPr>
        <w:t>The</w:t>
      </w:r>
      <w:r>
        <w:rPr>
          <w:b/>
          <w:i/>
          <w:spacing w:val="4"/>
        </w:rPr>
        <w:t xml:space="preserve"> </w:t>
      </w:r>
      <w:r>
        <w:rPr>
          <w:b/>
          <w:i/>
        </w:rPr>
        <w:t>institutional</w:t>
      </w:r>
      <w:r>
        <w:rPr>
          <w:b/>
          <w:i/>
          <w:spacing w:val="9"/>
        </w:rPr>
        <w:t xml:space="preserve"> </w:t>
      </w:r>
      <w:r>
        <w:rPr>
          <w:b/>
          <w:i/>
        </w:rPr>
        <w:t>framework</w:t>
      </w:r>
      <w:r>
        <w:rPr>
          <w:b/>
          <w:i/>
          <w:spacing w:val="7"/>
        </w:rPr>
        <w:t xml:space="preserve"> </w:t>
      </w:r>
      <w:r>
        <w:rPr>
          <w:b/>
          <w:i/>
        </w:rPr>
        <w:t>capacity</w:t>
      </w:r>
      <w:r>
        <w:rPr>
          <w:b/>
          <w:i/>
          <w:spacing w:val="7"/>
        </w:rPr>
        <w:t xml:space="preserve"> </w:t>
      </w:r>
      <w:r>
        <w:rPr>
          <w:b/>
          <w:i/>
        </w:rPr>
        <w:t>to</w:t>
      </w:r>
      <w:r>
        <w:rPr>
          <w:b/>
          <w:i/>
          <w:spacing w:val="9"/>
        </w:rPr>
        <w:t xml:space="preserve"> </w:t>
      </w:r>
      <w:r>
        <w:rPr>
          <w:b/>
          <w:i/>
        </w:rPr>
        <w:t>fight</w:t>
      </w:r>
      <w:r>
        <w:rPr>
          <w:b/>
          <w:i/>
          <w:spacing w:val="6"/>
        </w:rPr>
        <w:t xml:space="preserve"> </w:t>
      </w:r>
      <w:r>
        <w:rPr>
          <w:b/>
          <w:i/>
        </w:rPr>
        <w:t>against</w:t>
      </w:r>
      <w:r>
        <w:rPr>
          <w:b/>
          <w:i/>
          <w:spacing w:val="8"/>
        </w:rPr>
        <w:t xml:space="preserve"> </w:t>
      </w:r>
      <w:r>
        <w:rPr>
          <w:b/>
          <w:i/>
        </w:rPr>
        <w:t>corruption</w:t>
      </w:r>
      <w:r>
        <w:rPr>
          <w:b/>
          <w:i/>
          <w:spacing w:val="9"/>
        </w:rPr>
        <w:t xml:space="preserve"> </w:t>
      </w:r>
      <w:r>
        <w:rPr>
          <w:b/>
          <w:i/>
        </w:rPr>
        <w:t>(prevention</w:t>
      </w:r>
      <w:r>
        <w:rPr>
          <w:b/>
          <w:i/>
          <w:spacing w:val="6"/>
        </w:rPr>
        <w:t xml:space="preserve"> </w:t>
      </w:r>
      <w:r>
        <w:rPr>
          <w:b/>
          <w:i/>
        </w:rPr>
        <w:t>and</w:t>
      </w:r>
      <w:r>
        <w:rPr>
          <w:b/>
          <w:i/>
          <w:spacing w:val="6"/>
        </w:rPr>
        <w:t xml:space="preserve"> </w:t>
      </w:r>
      <w:r>
        <w:rPr>
          <w:b/>
          <w:i/>
        </w:rPr>
        <w:t>investigation</w:t>
      </w:r>
    </w:p>
    <w:p w14:paraId="5FD36B16" w14:textId="77777777" w:rsidR="00C3343A" w:rsidRDefault="00C3343A" w:rsidP="00C3343A">
      <w:pPr>
        <w:spacing w:before="20"/>
        <w:ind w:left="544"/>
        <w:rPr>
          <w:b/>
          <w:i/>
        </w:rPr>
      </w:pPr>
      <w:r>
        <w:rPr>
          <w:b/>
          <w:i/>
        </w:rPr>
        <w:t>/ prosecution)</w:t>
      </w:r>
    </w:p>
    <w:p w14:paraId="4CC0073A" w14:textId="77777777" w:rsidR="00C3343A" w:rsidRDefault="00C3343A" w:rsidP="00C3343A">
      <w:pPr>
        <w:pStyle w:val="ListParagraph"/>
        <w:widowControl w:val="0"/>
        <w:numPr>
          <w:ilvl w:val="0"/>
          <w:numId w:val="4"/>
        </w:numPr>
        <w:tabs>
          <w:tab w:val="left" w:pos="1217"/>
        </w:tabs>
        <w:autoSpaceDE w:val="0"/>
        <w:autoSpaceDN w:val="0"/>
        <w:spacing w:before="137" w:after="0" w:line="252" w:lineRule="auto"/>
        <w:ind w:right="125"/>
        <w:contextualSpacing w:val="0"/>
        <w:rPr>
          <w:i/>
        </w:rPr>
      </w:pPr>
      <w:r>
        <w:rPr>
          <w:i/>
        </w:rPr>
        <w:t>List of relevant authorities (e.g. national agencies, bodies) in charge of prevention detection, investigation and prosecution of corruption. Please indicate the resources allocated to these (the human, financial, legal, and practical resources as relevant), e.g. in</w:t>
      </w:r>
      <w:bookmarkStart w:id="11" w:name="B._Prevention"/>
      <w:bookmarkEnd w:id="11"/>
      <w:r>
        <w:rPr>
          <w:i/>
        </w:rPr>
        <w:t xml:space="preserve"> table</w:t>
      </w:r>
      <w:r>
        <w:rPr>
          <w:i/>
          <w:spacing w:val="-1"/>
        </w:rPr>
        <w:t xml:space="preserve"> </w:t>
      </w:r>
      <w:r>
        <w:rPr>
          <w:i/>
        </w:rPr>
        <w:t>format.</w:t>
      </w:r>
    </w:p>
    <w:p w14:paraId="7DE22CE9" w14:textId="77777777" w:rsidR="00C3343A" w:rsidRDefault="00C3343A" w:rsidP="00C3343A">
      <w:pPr>
        <w:pStyle w:val="Heading2"/>
        <w:numPr>
          <w:ilvl w:val="0"/>
          <w:numId w:val="3"/>
        </w:numPr>
        <w:tabs>
          <w:tab w:val="left" w:pos="544"/>
          <w:tab w:val="left" w:pos="545"/>
        </w:tabs>
        <w:spacing w:before="111"/>
      </w:pPr>
      <w:r>
        <w:t>Prevention</w:t>
      </w:r>
    </w:p>
    <w:p w14:paraId="68E1D59C" w14:textId="77777777" w:rsidR="00C3343A" w:rsidRDefault="00C3343A" w:rsidP="00C3343A">
      <w:pPr>
        <w:pStyle w:val="ListParagraph"/>
        <w:widowControl w:val="0"/>
        <w:numPr>
          <w:ilvl w:val="0"/>
          <w:numId w:val="4"/>
        </w:numPr>
        <w:tabs>
          <w:tab w:val="left" w:pos="1267"/>
        </w:tabs>
        <w:autoSpaceDE w:val="0"/>
        <w:autoSpaceDN w:val="0"/>
        <w:spacing w:before="113" w:after="0" w:line="240" w:lineRule="auto"/>
        <w:ind w:left="1266" w:hanging="411"/>
        <w:contextualSpacing w:val="0"/>
        <w:rPr>
          <w:i/>
        </w:rPr>
      </w:pPr>
      <w:r>
        <w:rPr>
          <w:i/>
        </w:rPr>
        <w:t>Integrity framework including incompatibility rules (e.g.: revolving</w:t>
      </w:r>
      <w:r>
        <w:rPr>
          <w:i/>
          <w:spacing w:val="-9"/>
        </w:rPr>
        <w:t xml:space="preserve"> </w:t>
      </w:r>
      <w:r>
        <w:rPr>
          <w:i/>
        </w:rPr>
        <w:t>doors)</w:t>
      </w:r>
    </w:p>
    <w:p w14:paraId="3ACCC253"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right="411" w:hanging="360"/>
        <w:contextualSpacing w:val="0"/>
        <w:rPr>
          <w:i/>
        </w:rPr>
      </w:pPr>
      <w:r>
        <w:rPr>
          <w:i/>
        </w:rPr>
        <w:t>General transparency of public decision-making (including public access to information such as lobbying, asset disclosure rules and transparency of political party</w:t>
      </w:r>
      <w:r>
        <w:rPr>
          <w:i/>
          <w:spacing w:val="-26"/>
        </w:rPr>
        <w:t xml:space="preserve"> </w:t>
      </w:r>
      <w:r>
        <w:rPr>
          <w:i/>
        </w:rPr>
        <w:t>financing)</w:t>
      </w:r>
    </w:p>
    <w:p w14:paraId="5C47BF45"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on preventing conflict of interests in the public</w:t>
      </w:r>
      <w:r>
        <w:rPr>
          <w:i/>
          <w:spacing w:val="-6"/>
        </w:rPr>
        <w:t xml:space="preserve"> </w:t>
      </w:r>
      <w:r>
        <w:rPr>
          <w:i/>
        </w:rPr>
        <w:t>sector</w:t>
      </w:r>
    </w:p>
    <w:p w14:paraId="4781A118"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right="863" w:hanging="356"/>
        <w:contextualSpacing w:val="0"/>
        <w:rPr>
          <w:i/>
        </w:rPr>
      </w:pPr>
      <w:r>
        <w:rPr>
          <w:i/>
        </w:rPr>
        <w:t>Measures in place to ensure whistleblower protection and encourage reporting of corruption</w:t>
      </w:r>
    </w:p>
    <w:p w14:paraId="530DE631"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right="426" w:hanging="356"/>
        <w:contextualSpacing w:val="0"/>
        <w:rPr>
          <w:i/>
        </w:rPr>
      </w:pPr>
      <w:r>
        <w:rPr>
          <w:i/>
        </w:rPr>
        <w:t>List the sectors with high-risks of corruption in your Member State and list the relevant measures taken/envisaged for preventing corruption and conflict of interest in these sectors. (e.g. public procurement, healthcare,</w:t>
      </w:r>
      <w:r>
        <w:rPr>
          <w:i/>
          <w:spacing w:val="-3"/>
        </w:rPr>
        <w:t xml:space="preserve"> </w:t>
      </w:r>
      <w:r>
        <w:rPr>
          <w:i/>
        </w:rPr>
        <w:t>other).</w:t>
      </w:r>
    </w:p>
    <w:p w14:paraId="5744C2C9" w14:textId="77777777" w:rsidR="00C3343A" w:rsidRDefault="00C3343A" w:rsidP="00C3343A">
      <w:pPr>
        <w:pStyle w:val="ListParagraph"/>
        <w:widowControl w:val="0"/>
        <w:numPr>
          <w:ilvl w:val="0"/>
          <w:numId w:val="4"/>
        </w:numPr>
        <w:tabs>
          <w:tab w:val="left" w:pos="1217"/>
        </w:tabs>
        <w:autoSpaceDE w:val="0"/>
        <w:autoSpaceDN w:val="0"/>
        <w:spacing w:before="118" w:after="0" w:line="240" w:lineRule="auto"/>
        <w:contextualSpacing w:val="0"/>
        <w:rPr>
          <w:i/>
        </w:rPr>
      </w:pPr>
      <w:r>
        <w:rPr>
          <w:i/>
        </w:rPr>
        <w:t>Measures taken to address corruption risks in the context of the COVID-19</w:t>
      </w:r>
      <w:r>
        <w:rPr>
          <w:i/>
          <w:spacing w:val="-22"/>
        </w:rPr>
        <w:t xml:space="preserve"> </w:t>
      </w:r>
      <w:r>
        <w:rPr>
          <w:i/>
        </w:rPr>
        <w:t>pandemic.</w:t>
      </w:r>
    </w:p>
    <w:p w14:paraId="03F182D3"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hanging="356"/>
        <w:contextualSpacing w:val="0"/>
        <w:rPr>
          <w:i/>
        </w:rPr>
      </w:pPr>
      <w:bookmarkStart w:id="12" w:name="C._Repressive_measures"/>
      <w:bookmarkEnd w:id="12"/>
      <w:r>
        <w:rPr>
          <w:i/>
        </w:rPr>
        <w:t>Any other relevant measures to prevent corruption in public and private</w:t>
      </w:r>
      <w:r>
        <w:rPr>
          <w:i/>
          <w:spacing w:val="-14"/>
        </w:rPr>
        <w:t xml:space="preserve"> </w:t>
      </w:r>
      <w:r>
        <w:rPr>
          <w:i/>
        </w:rPr>
        <w:t>sector</w:t>
      </w:r>
    </w:p>
    <w:p w14:paraId="6334780C" w14:textId="77777777" w:rsidR="00C3343A" w:rsidRDefault="00C3343A" w:rsidP="00C3343A">
      <w:pPr>
        <w:pStyle w:val="Heading2"/>
        <w:numPr>
          <w:ilvl w:val="0"/>
          <w:numId w:val="3"/>
        </w:numPr>
        <w:tabs>
          <w:tab w:val="left" w:pos="543"/>
          <w:tab w:val="left" w:pos="545"/>
        </w:tabs>
        <w:ind w:hanging="429"/>
      </w:pPr>
      <w:r>
        <w:t>Repressive</w:t>
      </w:r>
      <w:r>
        <w:rPr>
          <w:spacing w:val="-1"/>
        </w:rPr>
        <w:t xml:space="preserve"> </w:t>
      </w:r>
      <w:r>
        <w:t>measures</w:t>
      </w:r>
    </w:p>
    <w:p w14:paraId="6EEE4251"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contextualSpacing w:val="0"/>
        <w:rPr>
          <w:i/>
        </w:rPr>
      </w:pPr>
      <w:r>
        <w:rPr>
          <w:i/>
        </w:rPr>
        <w:t>Criminalisation of corruption and related</w:t>
      </w:r>
      <w:r>
        <w:rPr>
          <w:i/>
          <w:spacing w:val="-6"/>
        </w:rPr>
        <w:t xml:space="preserve"> </w:t>
      </w:r>
      <w:r>
        <w:rPr>
          <w:i/>
        </w:rPr>
        <w:t>offences</w:t>
      </w:r>
    </w:p>
    <w:p w14:paraId="45731516"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right="341"/>
        <w:contextualSpacing w:val="0"/>
        <w:rPr>
          <w:i/>
        </w:rPr>
      </w:pPr>
      <w:r>
        <w:rPr>
          <w:i/>
        </w:rPr>
        <w:lastRenderedPageBreak/>
        <w:t>Data on investigation and application of sanctions for corruption offences (including for legal persons and high level and complex corruption cases) and their transparency, including as regards to the implementation of EU</w:t>
      </w:r>
      <w:r>
        <w:rPr>
          <w:i/>
          <w:spacing w:val="-12"/>
        </w:rPr>
        <w:t xml:space="preserve"> </w:t>
      </w:r>
      <w:r>
        <w:rPr>
          <w:i/>
        </w:rPr>
        <w:t>funds.</w:t>
      </w:r>
    </w:p>
    <w:p w14:paraId="6AFCC9FA" w14:textId="77777777" w:rsidR="00C3343A" w:rsidRDefault="00C3343A" w:rsidP="00C3343A">
      <w:pPr>
        <w:pStyle w:val="ListParagraph"/>
        <w:widowControl w:val="0"/>
        <w:numPr>
          <w:ilvl w:val="0"/>
          <w:numId w:val="4"/>
        </w:numPr>
        <w:tabs>
          <w:tab w:val="left" w:pos="1217"/>
        </w:tabs>
        <w:autoSpaceDE w:val="0"/>
        <w:autoSpaceDN w:val="0"/>
        <w:spacing w:before="123" w:after="0" w:line="237" w:lineRule="auto"/>
        <w:ind w:right="197"/>
        <w:contextualSpacing w:val="0"/>
        <w:rPr>
          <w:i/>
        </w:rPr>
      </w:pPr>
      <w:r>
        <w:rPr>
          <w:i/>
        </w:rPr>
        <w:t>Potential obstacles to investigation and prosecution of high-level and complex corruption cases (e.g. political immunity regulation)</w:t>
      </w:r>
    </w:p>
    <w:p w14:paraId="7EDD659E" w14:textId="77777777" w:rsidR="00C3343A" w:rsidRDefault="00C3343A" w:rsidP="00C3343A">
      <w:pPr>
        <w:pStyle w:val="Heading2"/>
        <w:spacing w:before="122"/>
        <w:ind w:left="117" w:firstLine="0"/>
      </w:pPr>
      <w:r>
        <w:t>Other – please specify</w:t>
      </w:r>
    </w:p>
    <w:p w14:paraId="0E904A86" w14:textId="77777777" w:rsidR="00C3343A" w:rsidRDefault="00C3343A" w:rsidP="00C3343A">
      <w:pPr>
        <w:pStyle w:val="BodyText"/>
        <w:spacing w:before="10"/>
        <w:ind w:left="0" w:firstLine="0"/>
        <w:rPr>
          <w:b/>
          <w:sz w:val="31"/>
        </w:rPr>
      </w:pPr>
    </w:p>
    <w:p w14:paraId="5087AE5A" w14:textId="77777777" w:rsidR="00C3343A" w:rsidRDefault="00C3343A" w:rsidP="00C3343A">
      <w:pPr>
        <w:pStyle w:val="ListParagraph"/>
        <w:widowControl w:val="0"/>
        <w:numPr>
          <w:ilvl w:val="0"/>
          <w:numId w:val="6"/>
        </w:numPr>
        <w:shd w:val="clear" w:color="auto" w:fill="E7E6E6" w:themeFill="background2"/>
        <w:tabs>
          <w:tab w:val="left" w:pos="523"/>
        </w:tabs>
        <w:autoSpaceDE w:val="0"/>
        <w:autoSpaceDN w:val="0"/>
        <w:spacing w:after="0" w:line="240" w:lineRule="auto"/>
        <w:ind w:left="522" w:hanging="406"/>
        <w:contextualSpacing w:val="0"/>
        <w:rPr>
          <w:b/>
        </w:rPr>
      </w:pPr>
      <w:bookmarkStart w:id="13" w:name="III._Media_pluralism"/>
      <w:bookmarkEnd w:id="13"/>
      <w:r>
        <w:rPr>
          <w:b/>
        </w:rPr>
        <w:t>Media</w:t>
      </w:r>
      <w:r>
        <w:rPr>
          <w:b/>
          <w:spacing w:val="-2"/>
        </w:rPr>
        <w:t xml:space="preserve"> </w:t>
      </w:r>
      <w:r>
        <w:rPr>
          <w:b/>
        </w:rPr>
        <w:t>pluralism</w:t>
      </w:r>
    </w:p>
    <w:p w14:paraId="00388AF7" w14:textId="77777777" w:rsidR="00C3343A" w:rsidRDefault="00C3343A" w:rsidP="00C3343A">
      <w:pPr>
        <w:pStyle w:val="ListParagraph"/>
        <w:widowControl w:val="0"/>
        <w:numPr>
          <w:ilvl w:val="0"/>
          <w:numId w:val="2"/>
        </w:numPr>
        <w:tabs>
          <w:tab w:val="left" w:pos="544"/>
          <w:tab w:val="left" w:pos="545"/>
        </w:tabs>
        <w:autoSpaceDE w:val="0"/>
        <w:autoSpaceDN w:val="0"/>
        <w:spacing w:before="120" w:after="0" w:line="240" w:lineRule="auto"/>
        <w:contextualSpacing w:val="0"/>
        <w:rPr>
          <w:b/>
          <w:i/>
        </w:rPr>
      </w:pPr>
      <w:bookmarkStart w:id="14" w:name="A._Media__authorities_and_bodies5F"/>
      <w:bookmarkEnd w:id="14"/>
      <w:r>
        <w:rPr>
          <w:b/>
          <w:i/>
        </w:rPr>
        <w:t>Media authorities and</w:t>
      </w:r>
      <w:r>
        <w:rPr>
          <w:b/>
          <w:i/>
          <w:spacing w:val="-5"/>
        </w:rPr>
        <w:t xml:space="preserve"> </w:t>
      </w:r>
      <w:r>
        <w:rPr>
          <w:b/>
          <w:i/>
        </w:rPr>
        <w:t>bodies</w:t>
      </w:r>
      <w:r>
        <w:rPr>
          <w:rStyle w:val="FootnoteReference"/>
          <w:i/>
        </w:rPr>
        <w:footnoteReference w:id="6"/>
      </w:r>
    </w:p>
    <w:p w14:paraId="1437D829"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left="1215" w:right="109" w:hanging="360"/>
        <w:contextualSpacing w:val="0"/>
        <w:rPr>
          <w:i/>
        </w:rPr>
      </w:pPr>
      <w:r>
        <w:rPr>
          <w:i/>
        </w:rPr>
        <w:t>Independence, enforcement powers and adequacy of resources of media regulatory authorities and</w:t>
      </w:r>
      <w:r>
        <w:rPr>
          <w:i/>
          <w:spacing w:val="-2"/>
        </w:rPr>
        <w:t xml:space="preserve"> </w:t>
      </w:r>
      <w:r>
        <w:rPr>
          <w:i/>
        </w:rPr>
        <w:t>bodies</w:t>
      </w:r>
    </w:p>
    <w:p w14:paraId="3D6C59BD" w14:textId="77777777" w:rsidR="00C3343A" w:rsidRDefault="00C3343A" w:rsidP="00C3343A">
      <w:pPr>
        <w:pStyle w:val="ListParagraph"/>
        <w:widowControl w:val="0"/>
        <w:numPr>
          <w:ilvl w:val="0"/>
          <w:numId w:val="4"/>
        </w:numPr>
        <w:tabs>
          <w:tab w:val="left" w:pos="1216"/>
        </w:tabs>
        <w:autoSpaceDE w:val="0"/>
        <w:autoSpaceDN w:val="0"/>
        <w:spacing w:before="120" w:after="0" w:line="240" w:lineRule="auto"/>
        <w:ind w:left="1215" w:right="107"/>
        <w:contextualSpacing w:val="0"/>
        <w:rPr>
          <w:i/>
        </w:rPr>
      </w:pPr>
      <w:r>
        <w:rPr>
          <w:i/>
        </w:rPr>
        <w:t>Conditions and procedures for the appointment and dismissal of the head / members of the collegiate body of media regulatory authorities and</w:t>
      </w:r>
      <w:r>
        <w:rPr>
          <w:i/>
          <w:spacing w:val="-11"/>
        </w:rPr>
        <w:t xml:space="preserve"> </w:t>
      </w:r>
      <w:r>
        <w:rPr>
          <w:i/>
        </w:rPr>
        <w:t>bodies</w:t>
      </w:r>
    </w:p>
    <w:p w14:paraId="00BB7C64" w14:textId="77777777" w:rsidR="00C3343A" w:rsidRDefault="00C3343A" w:rsidP="00C3343A">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Existence and functions of media councils or other self-regulatory</w:t>
      </w:r>
      <w:r>
        <w:rPr>
          <w:i/>
          <w:spacing w:val="-9"/>
        </w:rPr>
        <w:t xml:space="preserve"> </w:t>
      </w:r>
      <w:r>
        <w:rPr>
          <w:i/>
        </w:rPr>
        <w:t>bodies</w:t>
      </w:r>
    </w:p>
    <w:p w14:paraId="339FAE05" w14:textId="77777777" w:rsidR="00C3343A" w:rsidRDefault="00C3343A" w:rsidP="00C3343A">
      <w:pPr>
        <w:pStyle w:val="BodyText"/>
        <w:spacing w:before="0"/>
        <w:ind w:left="0" w:firstLine="0"/>
        <w:rPr>
          <w:sz w:val="20"/>
        </w:rPr>
      </w:pPr>
    </w:p>
    <w:p w14:paraId="0FE3B74F" w14:textId="77777777" w:rsidR="00C3343A" w:rsidRDefault="00C3343A" w:rsidP="00C3343A">
      <w:pPr>
        <w:pStyle w:val="Heading2"/>
        <w:numPr>
          <w:ilvl w:val="0"/>
          <w:numId w:val="2"/>
        </w:numPr>
        <w:tabs>
          <w:tab w:val="left" w:pos="543"/>
          <w:tab w:val="left" w:pos="545"/>
        </w:tabs>
        <w:spacing w:before="33"/>
        <w:ind w:hanging="429"/>
      </w:pPr>
      <w:bookmarkStart w:id="15" w:name="B._Transparency_of_media_ownership_and_g"/>
      <w:bookmarkEnd w:id="15"/>
      <w:r>
        <w:t>Transparency of media ownership and government</w:t>
      </w:r>
      <w:r>
        <w:rPr>
          <w:spacing w:val="-12"/>
        </w:rPr>
        <w:t xml:space="preserve"> </w:t>
      </w:r>
      <w:r>
        <w:t>interference</w:t>
      </w:r>
    </w:p>
    <w:p w14:paraId="2DFC073D"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right="110"/>
        <w:contextualSpacing w:val="0"/>
        <w:rPr>
          <w:i/>
        </w:rPr>
      </w:pPr>
      <w:r>
        <w:rPr>
          <w:i/>
        </w:rPr>
        <w:t>The transparent allocation of state advertising (including any rules regulating the  matter); other safeguards against state / political</w:t>
      </w:r>
      <w:r>
        <w:rPr>
          <w:i/>
          <w:spacing w:val="-5"/>
        </w:rPr>
        <w:t xml:space="preserve"> </w:t>
      </w:r>
      <w:r>
        <w:rPr>
          <w:i/>
        </w:rPr>
        <w:t>interference</w:t>
      </w:r>
    </w:p>
    <w:p w14:paraId="38AE6D77"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ind w:left="1215" w:right="109" w:hanging="360"/>
        <w:contextualSpacing w:val="0"/>
        <w:rPr>
          <w:i/>
        </w:rPr>
      </w:pPr>
      <w:r>
        <w:rPr>
          <w:i/>
        </w:rPr>
        <w:t>Rules governing transparency of media ownership and public availability of media ownership</w:t>
      </w:r>
      <w:r>
        <w:rPr>
          <w:i/>
          <w:spacing w:val="-2"/>
        </w:rPr>
        <w:t xml:space="preserve"> </w:t>
      </w:r>
      <w:r>
        <w:rPr>
          <w:i/>
        </w:rPr>
        <w:t>information</w:t>
      </w:r>
    </w:p>
    <w:p w14:paraId="16AA3634" w14:textId="77777777" w:rsidR="00C3343A" w:rsidRDefault="00C3343A" w:rsidP="00C3343A">
      <w:pPr>
        <w:pStyle w:val="Heading2"/>
        <w:numPr>
          <w:ilvl w:val="0"/>
          <w:numId w:val="2"/>
        </w:numPr>
        <w:tabs>
          <w:tab w:val="left" w:pos="543"/>
          <w:tab w:val="left" w:pos="545"/>
        </w:tabs>
        <w:spacing w:before="121"/>
        <w:ind w:hanging="429"/>
      </w:pPr>
      <w:bookmarkStart w:id="16" w:name="C._Framework_for_journalists'_protection"/>
      <w:bookmarkEnd w:id="16"/>
      <w:r>
        <w:t>Framework for journalists'</w:t>
      </w:r>
      <w:r>
        <w:rPr>
          <w:spacing w:val="-3"/>
        </w:rPr>
        <w:t xml:space="preserve"> </w:t>
      </w:r>
      <w:r>
        <w:t>protection</w:t>
      </w:r>
    </w:p>
    <w:p w14:paraId="1AEE1B18"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and practices guaranteeing journalist's independence and</w:t>
      </w:r>
      <w:r>
        <w:rPr>
          <w:i/>
          <w:spacing w:val="-4"/>
        </w:rPr>
        <w:t xml:space="preserve"> </w:t>
      </w:r>
      <w:r>
        <w:rPr>
          <w:i/>
        </w:rPr>
        <w:t>safety</w:t>
      </w:r>
    </w:p>
    <w:p w14:paraId="3B923605" w14:textId="77777777" w:rsidR="00C3343A" w:rsidRDefault="00C3343A" w:rsidP="00C3343A">
      <w:pPr>
        <w:pStyle w:val="ListParagraph"/>
        <w:widowControl w:val="0"/>
        <w:numPr>
          <w:ilvl w:val="0"/>
          <w:numId w:val="4"/>
        </w:numPr>
        <w:tabs>
          <w:tab w:val="left" w:pos="1217"/>
        </w:tabs>
        <w:autoSpaceDE w:val="0"/>
        <w:autoSpaceDN w:val="0"/>
        <w:spacing w:before="118" w:after="0" w:line="240" w:lineRule="auto"/>
        <w:ind w:right="108"/>
        <w:contextualSpacing w:val="0"/>
        <w:rPr>
          <w:i/>
        </w:rPr>
      </w:pPr>
      <w:r>
        <w:rPr>
          <w:i/>
        </w:rPr>
        <w:t>Law enforcement capacity to ensure journalists' safety and to investigate attacks on journalists</w:t>
      </w:r>
    </w:p>
    <w:p w14:paraId="732F3089" w14:textId="77777777" w:rsidR="00C3343A" w:rsidRDefault="00C3343A" w:rsidP="00C3343A">
      <w:pPr>
        <w:pStyle w:val="ListParagraph"/>
        <w:widowControl w:val="0"/>
        <w:numPr>
          <w:ilvl w:val="0"/>
          <w:numId w:val="4"/>
        </w:numPr>
        <w:tabs>
          <w:tab w:val="left" w:pos="1217"/>
        </w:tabs>
        <w:autoSpaceDE w:val="0"/>
        <w:autoSpaceDN w:val="0"/>
        <w:spacing w:before="120" w:after="0" w:line="240" w:lineRule="auto"/>
        <w:contextualSpacing w:val="0"/>
        <w:rPr>
          <w:i/>
        </w:rPr>
      </w:pPr>
      <w:r>
        <w:rPr>
          <w:i/>
        </w:rPr>
        <w:t>Access to information and public</w:t>
      </w:r>
      <w:r>
        <w:rPr>
          <w:i/>
          <w:spacing w:val="-5"/>
        </w:rPr>
        <w:t xml:space="preserve"> </w:t>
      </w:r>
      <w:r>
        <w:rPr>
          <w:i/>
        </w:rPr>
        <w:t>documents</w:t>
      </w:r>
    </w:p>
    <w:p w14:paraId="7465E5FC"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right="110"/>
        <w:contextualSpacing w:val="0"/>
        <w:rPr>
          <w:i/>
        </w:rPr>
      </w:pPr>
      <w:r>
        <w:rPr>
          <w:i/>
        </w:rPr>
        <w:t>Lawsuits and convictions against journalists (incl. defamation cases) and safeguards against abuse</w:t>
      </w:r>
    </w:p>
    <w:p w14:paraId="0434FC3F" w14:textId="77777777" w:rsidR="00C3343A" w:rsidRDefault="00C3343A" w:rsidP="00C3343A">
      <w:pPr>
        <w:pStyle w:val="Heading2"/>
        <w:ind w:left="117" w:firstLine="0"/>
      </w:pPr>
      <w:r>
        <w:t>Other – please specify</w:t>
      </w:r>
    </w:p>
    <w:p w14:paraId="7FBDAE90" w14:textId="77777777" w:rsidR="00C3343A" w:rsidRDefault="00C3343A" w:rsidP="00C3343A">
      <w:pPr>
        <w:pStyle w:val="BodyText"/>
        <w:spacing w:before="8"/>
        <w:ind w:left="0" w:firstLine="0"/>
        <w:rPr>
          <w:b/>
          <w:sz w:val="20"/>
        </w:rPr>
      </w:pPr>
    </w:p>
    <w:p w14:paraId="2ADEB490" w14:textId="77777777" w:rsidR="00C3343A" w:rsidRDefault="00C3343A" w:rsidP="00C3343A">
      <w:pPr>
        <w:pStyle w:val="ListParagraph"/>
        <w:widowControl w:val="0"/>
        <w:numPr>
          <w:ilvl w:val="0"/>
          <w:numId w:val="6"/>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17" w:name="IV._Other_institutional_issues_related_t"/>
      <w:bookmarkStart w:id="18" w:name="A._The_process_for_preparing_and_enactin"/>
      <w:bookmarkEnd w:id="17"/>
      <w:bookmarkEnd w:id="18"/>
      <w:r>
        <w:rPr>
          <w:b/>
        </w:rPr>
        <w:t>Other institutional issues related to checks and</w:t>
      </w:r>
      <w:r>
        <w:rPr>
          <w:b/>
          <w:spacing w:val="-4"/>
        </w:rPr>
        <w:t xml:space="preserve"> </w:t>
      </w:r>
      <w:r>
        <w:rPr>
          <w:b/>
        </w:rPr>
        <w:t>balances</w:t>
      </w:r>
    </w:p>
    <w:p w14:paraId="3CC1C1AB" w14:textId="77777777" w:rsidR="00C3343A" w:rsidRDefault="00C3343A" w:rsidP="00C3343A">
      <w:pPr>
        <w:pStyle w:val="ListParagraph"/>
        <w:widowControl w:val="0"/>
        <w:numPr>
          <w:ilvl w:val="0"/>
          <w:numId w:val="1"/>
        </w:numPr>
        <w:tabs>
          <w:tab w:val="left" w:pos="544"/>
        </w:tabs>
        <w:autoSpaceDE w:val="0"/>
        <w:autoSpaceDN w:val="0"/>
        <w:spacing w:before="121" w:after="0" w:line="240" w:lineRule="auto"/>
        <w:contextualSpacing w:val="0"/>
        <w:jc w:val="both"/>
        <w:rPr>
          <w:b/>
          <w:i/>
        </w:rPr>
      </w:pPr>
      <w:r>
        <w:rPr>
          <w:b/>
          <w:i/>
        </w:rPr>
        <w:t>The process for preparing and enacting</w:t>
      </w:r>
      <w:r>
        <w:rPr>
          <w:b/>
          <w:i/>
          <w:spacing w:val="-9"/>
        </w:rPr>
        <w:t xml:space="preserve"> </w:t>
      </w:r>
      <w:r>
        <w:rPr>
          <w:b/>
          <w:i/>
        </w:rPr>
        <w:t>laws</w:t>
      </w:r>
    </w:p>
    <w:p w14:paraId="702F904A" w14:textId="77777777" w:rsidR="00C3343A" w:rsidRDefault="00C3343A" w:rsidP="00C3343A">
      <w:pPr>
        <w:pStyle w:val="ListParagraph"/>
        <w:widowControl w:val="0"/>
        <w:numPr>
          <w:ilvl w:val="0"/>
          <w:numId w:val="4"/>
        </w:numPr>
        <w:tabs>
          <w:tab w:val="left" w:pos="1216"/>
        </w:tabs>
        <w:autoSpaceDE w:val="0"/>
        <w:autoSpaceDN w:val="0"/>
        <w:spacing w:before="113" w:after="0" w:line="240" w:lineRule="auto"/>
        <w:ind w:left="1215" w:right="107" w:hanging="360"/>
        <w:contextualSpacing w:val="0"/>
        <w:jc w:val="both"/>
        <w:rPr>
          <w:i/>
        </w:rPr>
      </w:pPr>
      <w:r>
        <w:rPr>
          <w:i/>
        </w:rPr>
        <w:t>Framework, policy and use of impact assessments, stakeholders'/public consultations (particularly consultation of judiciary on judicial reforms), and transparency and quality of the legislative</w:t>
      </w:r>
      <w:r>
        <w:rPr>
          <w:i/>
          <w:spacing w:val="-3"/>
        </w:rPr>
        <w:t xml:space="preserve"> </w:t>
      </w:r>
      <w:r>
        <w:rPr>
          <w:i/>
        </w:rPr>
        <w:t>process</w:t>
      </w:r>
    </w:p>
    <w:p w14:paraId="6BBF588C" w14:textId="77777777" w:rsidR="00C3343A" w:rsidRDefault="00C3343A" w:rsidP="00C3343A">
      <w:pPr>
        <w:pStyle w:val="ListParagraph"/>
        <w:widowControl w:val="0"/>
        <w:numPr>
          <w:ilvl w:val="0"/>
          <w:numId w:val="4"/>
        </w:numPr>
        <w:tabs>
          <w:tab w:val="left" w:pos="1216"/>
        </w:tabs>
        <w:autoSpaceDE w:val="0"/>
        <w:autoSpaceDN w:val="0"/>
        <w:spacing w:before="118" w:after="0" w:line="240" w:lineRule="auto"/>
        <w:ind w:left="1215" w:right="107"/>
        <w:contextualSpacing w:val="0"/>
        <w:jc w:val="both"/>
        <w:rPr>
          <w:i/>
        </w:rPr>
      </w:pPr>
      <w:r>
        <w:rPr>
          <w:i/>
        </w:rPr>
        <w:t>Rules and use of fast-track procedures and emergency procedures (for example, the percentage of decisions adopted through emergency/urgent procedure compared to the total number of adopted</w:t>
      </w:r>
      <w:r>
        <w:rPr>
          <w:i/>
          <w:spacing w:val="-1"/>
        </w:rPr>
        <w:t xml:space="preserve"> </w:t>
      </w:r>
      <w:r>
        <w:rPr>
          <w:i/>
        </w:rPr>
        <w:t>decisions)</w:t>
      </w:r>
    </w:p>
    <w:p w14:paraId="26B4E1D4" w14:textId="77777777" w:rsidR="00C3343A" w:rsidRDefault="00C3343A" w:rsidP="00C3343A">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Regime for constitutional review of</w:t>
      </w:r>
      <w:r>
        <w:rPr>
          <w:i/>
          <w:spacing w:val="-2"/>
        </w:rPr>
        <w:t xml:space="preserve"> </w:t>
      </w:r>
      <w:r>
        <w:rPr>
          <w:i/>
        </w:rPr>
        <w:t>laws</w:t>
      </w:r>
    </w:p>
    <w:p w14:paraId="04485C4F" w14:textId="77777777" w:rsidR="00C3343A" w:rsidRDefault="00C3343A" w:rsidP="00C3343A">
      <w:pPr>
        <w:pStyle w:val="ListParagraph"/>
        <w:widowControl w:val="0"/>
        <w:numPr>
          <w:ilvl w:val="0"/>
          <w:numId w:val="4"/>
        </w:numPr>
        <w:tabs>
          <w:tab w:val="left" w:pos="1216"/>
        </w:tabs>
        <w:autoSpaceDE w:val="0"/>
        <w:autoSpaceDN w:val="0"/>
        <w:spacing w:before="120" w:after="0" w:line="240" w:lineRule="auto"/>
        <w:ind w:left="1215" w:right="108"/>
        <w:contextualSpacing w:val="0"/>
        <w:jc w:val="both"/>
        <w:rPr>
          <w:i/>
        </w:rPr>
      </w:pPr>
      <w:r>
        <w:rPr>
          <w:i/>
        </w:rPr>
        <w:t>COVID-19: provide update on significant developments with regard to emergency regimes in the context of the COVID-19</w:t>
      </w:r>
      <w:r>
        <w:rPr>
          <w:i/>
          <w:spacing w:val="-2"/>
        </w:rPr>
        <w:t xml:space="preserve"> </w:t>
      </w:r>
      <w:r>
        <w:rPr>
          <w:i/>
        </w:rPr>
        <w:t>pandemic</w:t>
      </w:r>
    </w:p>
    <w:p w14:paraId="6709F174" w14:textId="77777777" w:rsidR="00C3343A" w:rsidRDefault="00C3343A" w:rsidP="00C3343A">
      <w:pPr>
        <w:pStyle w:val="ListParagraph"/>
        <w:widowControl w:val="0"/>
        <w:numPr>
          <w:ilvl w:val="1"/>
          <w:numId w:val="4"/>
        </w:numPr>
        <w:tabs>
          <w:tab w:val="left" w:pos="1575"/>
          <w:tab w:val="left" w:pos="1576"/>
        </w:tabs>
        <w:autoSpaceDE w:val="0"/>
        <w:autoSpaceDN w:val="0"/>
        <w:spacing w:before="120" w:after="0" w:line="240" w:lineRule="auto"/>
        <w:ind w:right="256"/>
        <w:contextualSpacing w:val="0"/>
        <w:rPr>
          <w:i/>
        </w:rPr>
      </w:pPr>
      <w:r>
        <w:rPr>
          <w:i/>
        </w:rPr>
        <w:lastRenderedPageBreak/>
        <w:t>judicial review (including constitutional review) of emergency regimes and measures in the context of COVID-19</w:t>
      </w:r>
      <w:r>
        <w:rPr>
          <w:i/>
          <w:spacing w:val="-2"/>
        </w:rPr>
        <w:t xml:space="preserve"> </w:t>
      </w:r>
      <w:r>
        <w:rPr>
          <w:i/>
        </w:rPr>
        <w:t>pandemic</w:t>
      </w:r>
    </w:p>
    <w:p w14:paraId="0380D62C" w14:textId="77777777" w:rsidR="00C3343A" w:rsidRDefault="00C3343A" w:rsidP="00C3343A">
      <w:pPr>
        <w:pStyle w:val="ListParagraph"/>
        <w:widowControl w:val="0"/>
        <w:numPr>
          <w:ilvl w:val="1"/>
          <w:numId w:val="4"/>
        </w:numPr>
        <w:tabs>
          <w:tab w:val="left" w:pos="1575"/>
          <w:tab w:val="left" w:pos="1576"/>
        </w:tabs>
        <w:autoSpaceDE w:val="0"/>
        <w:autoSpaceDN w:val="0"/>
        <w:spacing w:after="0" w:line="240" w:lineRule="auto"/>
        <w:ind w:right="134"/>
        <w:contextualSpacing w:val="0"/>
        <w:rPr>
          <w:i/>
        </w:rPr>
      </w:pPr>
      <w:r>
        <w:rPr>
          <w:i/>
        </w:rPr>
        <w:t>oversight by Parliament of emergency regimes and measures in the context of COVID- 19 pandemic</w:t>
      </w:r>
    </w:p>
    <w:p w14:paraId="00A50019" w14:textId="77777777" w:rsidR="00C3343A" w:rsidRDefault="00C3343A" w:rsidP="00C3343A">
      <w:pPr>
        <w:pStyle w:val="ListParagraph"/>
        <w:widowControl w:val="0"/>
        <w:numPr>
          <w:ilvl w:val="1"/>
          <w:numId w:val="4"/>
        </w:numPr>
        <w:tabs>
          <w:tab w:val="left" w:pos="1575"/>
          <w:tab w:val="left" w:pos="1576"/>
        </w:tabs>
        <w:autoSpaceDE w:val="0"/>
        <w:autoSpaceDN w:val="0"/>
        <w:spacing w:after="0" w:line="240" w:lineRule="auto"/>
        <w:ind w:right="533"/>
        <w:contextualSpacing w:val="0"/>
        <w:rPr>
          <w:i/>
        </w:rPr>
      </w:pPr>
      <w:r>
        <w:rPr>
          <w:i/>
        </w:rPr>
        <w:t>measures taken to ensure the continued activity of Parliament (including possible best practices)</w:t>
      </w:r>
    </w:p>
    <w:p w14:paraId="550175B4" w14:textId="77777777" w:rsidR="00C3343A" w:rsidRDefault="00C3343A" w:rsidP="00C3343A">
      <w:pPr>
        <w:pStyle w:val="Heading2"/>
        <w:numPr>
          <w:ilvl w:val="0"/>
          <w:numId w:val="1"/>
        </w:numPr>
        <w:tabs>
          <w:tab w:val="left" w:pos="543"/>
          <w:tab w:val="left" w:pos="544"/>
        </w:tabs>
        <w:spacing w:before="126"/>
      </w:pPr>
      <w:bookmarkStart w:id="19" w:name="B._Independent_authorities"/>
      <w:bookmarkEnd w:id="19"/>
      <w:r>
        <w:t>Independent</w:t>
      </w:r>
      <w:r>
        <w:rPr>
          <w:spacing w:val="-3"/>
        </w:rPr>
        <w:t xml:space="preserve"> </w:t>
      </w:r>
      <w:r>
        <w:t>authorities</w:t>
      </w:r>
    </w:p>
    <w:p w14:paraId="340D6431" w14:textId="30802165" w:rsidR="00C3343A" w:rsidRDefault="00C3343A" w:rsidP="00C3343A">
      <w:pPr>
        <w:pStyle w:val="ListParagraph"/>
        <w:widowControl w:val="0"/>
        <w:numPr>
          <w:ilvl w:val="0"/>
          <w:numId w:val="4"/>
        </w:numPr>
        <w:tabs>
          <w:tab w:val="left" w:pos="1216"/>
        </w:tabs>
        <w:autoSpaceDE w:val="0"/>
        <w:autoSpaceDN w:val="0"/>
        <w:spacing w:before="113" w:after="0" w:line="240" w:lineRule="auto"/>
        <w:ind w:left="1215" w:right="108" w:hanging="360"/>
        <w:contextualSpacing w:val="0"/>
        <w:jc w:val="both"/>
        <w:rPr>
          <w:i/>
        </w:rPr>
      </w:pPr>
      <w:r>
        <w:rPr>
          <w:i/>
        </w:rPr>
        <w:t>Independence, capacity and powers of national human rights institutions (‘NHRIs’), of ombudsman institutions if different from NHRIs, of equality bodies if different from NHRIs and of supreme audit institutions</w:t>
      </w:r>
      <w:r>
        <w:rPr>
          <w:rStyle w:val="FootnoteReference"/>
          <w:i/>
        </w:rPr>
        <w:footnoteReference w:id="7"/>
      </w:r>
    </w:p>
    <w:p w14:paraId="3E8DE23A" w14:textId="1DFBDEB2" w:rsidR="00A373B2" w:rsidRPr="00A51B59" w:rsidRDefault="00A373B2" w:rsidP="00A51B59">
      <w:pPr>
        <w:pStyle w:val="ListParagraph"/>
        <w:widowControl w:val="0"/>
        <w:tabs>
          <w:tab w:val="left" w:pos="1216"/>
        </w:tabs>
        <w:autoSpaceDE w:val="0"/>
        <w:autoSpaceDN w:val="0"/>
        <w:spacing w:before="113" w:after="0" w:line="240" w:lineRule="auto"/>
        <w:ind w:left="1215" w:right="108"/>
        <w:contextualSpacing w:val="0"/>
        <w:jc w:val="both"/>
      </w:pPr>
      <w:r w:rsidRPr="00A373B2">
        <w:t>Denmark</w:t>
      </w:r>
      <w:r>
        <w:t xml:space="preserve">’s </w:t>
      </w:r>
      <w:r w:rsidRPr="00A373B2">
        <w:t>NHRI was re-accredited with A status on</w:t>
      </w:r>
      <w:r>
        <w:t xml:space="preserve"> October 2018, available at </w:t>
      </w:r>
      <w:r w:rsidRPr="00A373B2">
        <w:t xml:space="preserve"> https://nhri.ohchr.org/EN/AboutUs/GANHRIAccreditation/Documents/SCA%20Report%20October%202018-Eng%20FINAL%20.pdf</w:t>
      </w:r>
    </w:p>
    <w:p w14:paraId="00C97D07" w14:textId="77777777" w:rsidR="00C3343A" w:rsidRDefault="00C3343A" w:rsidP="00C3343A">
      <w:pPr>
        <w:pStyle w:val="Heading2"/>
        <w:numPr>
          <w:ilvl w:val="0"/>
          <w:numId w:val="1"/>
        </w:numPr>
        <w:tabs>
          <w:tab w:val="left" w:pos="544"/>
        </w:tabs>
        <w:spacing w:before="126"/>
        <w:jc w:val="both"/>
      </w:pPr>
      <w:bookmarkStart w:id="20" w:name="C._Accessibility_and_judicial_review_of_"/>
      <w:bookmarkEnd w:id="20"/>
      <w:r>
        <w:t>Accessibility and judicial review of administrative</w:t>
      </w:r>
      <w:r>
        <w:rPr>
          <w:spacing w:val="-7"/>
        </w:rPr>
        <w:t xml:space="preserve"> </w:t>
      </w:r>
      <w:r>
        <w:t>decisions</w:t>
      </w:r>
    </w:p>
    <w:p w14:paraId="4CCE251F" w14:textId="77777777" w:rsidR="00C3343A" w:rsidRDefault="00C3343A" w:rsidP="00C3343A">
      <w:pPr>
        <w:pStyle w:val="ListParagraph"/>
        <w:widowControl w:val="0"/>
        <w:numPr>
          <w:ilvl w:val="0"/>
          <w:numId w:val="4"/>
        </w:numPr>
        <w:tabs>
          <w:tab w:val="left" w:pos="1267"/>
        </w:tabs>
        <w:autoSpaceDE w:val="0"/>
        <w:autoSpaceDN w:val="0"/>
        <w:spacing w:before="113" w:after="0" w:line="240" w:lineRule="auto"/>
        <w:ind w:left="1215" w:right="108" w:hanging="360"/>
        <w:contextualSpacing w:val="0"/>
        <w:jc w:val="both"/>
        <w:rPr>
          <w:i/>
        </w:rPr>
      </w:pPr>
      <w:r>
        <w:tab/>
      </w:r>
      <w:r>
        <w:rPr>
          <w:i/>
        </w:rPr>
        <w:t>Transparency of administrative decisions and sanctions (incl. their publication and rules on collection of related data) and judicial review (incl. scope, suspensive</w:t>
      </w:r>
      <w:r>
        <w:rPr>
          <w:i/>
          <w:spacing w:val="-16"/>
        </w:rPr>
        <w:t xml:space="preserve"> </w:t>
      </w:r>
      <w:r>
        <w:rPr>
          <w:i/>
        </w:rPr>
        <w:t>effect)</w:t>
      </w:r>
    </w:p>
    <w:p w14:paraId="1B72FD38" w14:textId="77777777" w:rsidR="00C3343A" w:rsidRDefault="00C3343A" w:rsidP="00C3343A">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Implementation by the public administration and State institutions of final court</w:t>
      </w:r>
      <w:r>
        <w:rPr>
          <w:i/>
          <w:spacing w:val="-31"/>
        </w:rPr>
        <w:t xml:space="preserve"> </w:t>
      </w:r>
      <w:r>
        <w:rPr>
          <w:i/>
        </w:rPr>
        <w:t>decisions</w:t>
      </w:r>
    </w:p>
    <w:p w14:paraId="2568FBF3" w14:textId="77777777" w:rsidR="00C3343A" w:rsidRDefault="00C3343A" w:rsidP="00C3343A">
      <w:pPr>
        <w:pStyle w:val="Heading2"/>
        <w:numPr>
          <w:ilvl w:val="0"/>
          <w:numId w:val="1"/>
        </w:numPr>
        <w:tabs>
          <w:tab w:val="left" w:pos="544"/>
        </w:tabs>
        <w:spacing w:before="33"/>
        <w:jc w:val="both"/>
      </w:pPr>
      <w:bookmarkStart w:id="21" w:name="D._The_enabling_framework_for_civil_soci"/>
      <w:bookmarkEnd w:id="21"/>
      <w:r>
        <w:t>The enabling framework for civil</w:t>
      </w:r>
      <w:r>
        <w:rPr>
          <w:spacing w:val="-5"/>
        </w:rPr>
        <w:t xml:space="preserve"> </w:t>
      </w:r>
      <w:r>
        <w:t>society</w:t>
      </w:r>
    </w:p>
    <w:p w14:paraId="4796725E" w14:textId="77777777" w:rsidR="00C3343A" w:rsidRDefault="00C3343A" w:rsidP="00C3343A">
      <w:pPr>
        <w:pStyle w:val="ListParagraph"/>
        <w:widowControl w:val="0"/>
        <w:numPr>
          <w:ilvl w:val="0"/>
          <w:numId w:val="4"/>
        </w:numPr>
        <w:tabs>
          <w:tab w:val="left" w:pos="1216"/>
        </w:tabs>
        <w:autoSpaceDE w:val="0"/>
        <w:autoSpaceDN w:val="0"/>
        <w:spacing w:before="120" w:after="0" w:line="240" w:lineRule="auto"/>
        <w:ind w:right="105" w:hanging="356"/>
        <w:contextualSpacing w:val="0"/>
        <w:jc w:val="both"/>
        <w:rPr>
          <w:i/>
        </w:rPr>
      </w:pPr>
      <w:r>
        <w:rPr>
          <w:i/>
        </w:rPr>
        <w:t>Measures regarding the framework for civil society organisations (e.g. access to funding, registration rules, measures capable of affecting the public perception of civil society</w:t>
      </w:r>
      <w:bookmarkStart w:id="22" w:name="E._Initiatives_to_foster_a_rule_of_law_c"/>
      <w:bookmarkEnd w:id="22"/>
      <w:r>
        <w:rPr>
          <w:i/>
        </w:rPr>
        <w:t xml:space="preserve"> organisations,</w:t>
      </w:r>
      <w:r>
        <w:rPr>
          <w:i/>
          <w:spacing w:val="-1"/>
        </w:rPr>
        <w:t xml:space="preserve"> </w:t>
      </w:r>
      <w:r>
        <w:rPr>
          <w:i/>
        </w:rPr>
        <w:t>etc.)</w:t>
      </w:r>
    </w:p>
    <w:p w14:paraId="71AE58DC" w14:textId="77777777" w:rsidR="00C3343A" w:rsidRDefault="00C3343A" w:rsidP="00C3343A">
      <w:pPr>
        <w:pStyle w:val="Heading2"/>
        <w:numPr>
          <w:ilvl w:val="0"/>
          <w:numId w:val="1"/>
        </w:numPr>
        <w:tabs>
          <w:tab w:val="left" w:pos="545"/>
        </w:tabs>
        <w:ind w:left="544"/>
        <w:jc w:val="both"/>
      </w:pPr>
      <w:r>
        <w:t>Initiatives to foster a rule of law</w:t>
      </w:r>
      <w:r>
        <w:rPr>
          <w:spacing w:val="-6"/>
        </w:rPr>
        <w:t xml:space="preserve"> </w:t>
      </w:r>
      <w:r>
        <w:t>culture</w:t>
      </w:r>
    </w:p>
    <w:p w14:paraId="4893F286" w14:textId="77777777" w:rsidR="00C3343A" w:rsidRDefault="00C3343A" w:rsidP="00C3343A">
      <w:pPr>
        <w:pStyle w:val="ListParagraph"/>
        <w:widowControl w:val="0"/>
        <w:numPr>
          <w:ilvl w:val="0"/>
          <w:numId w:val="4"/>
        </w:numPr>
        <w:tabs>
          <w:tab w:val="left" w:pos="1217"/>
        </w:tabs>
        <w:autoSpaceDE w:val="0"/>
        <w:autoSpaceDN w:val="0"/>
        <w:spacing w:before="121" w:after="0" w:line="240" w:lineRule="auto"/>
        <w:ind w:right="109" w:hanging="356"/>
        <w:contextualSpacing w:val="0"/>
        <w:jc w:val="both"/>
        <w:rPr>
          <w:i/>
        </w:rPr>
      </w:pPr>
      <w:r>
        <w:rPr>
          <w:i/>
        </w:rPr>
        <w:t>Measures to foster a rule of law culture (e.g. debates in national parliaments on the rule of law, public information campaigns on rule of law issues,</w:t>
      </w:r>
      <w:r>
        <w:rPr>
          <w:i/>
          <w:spacing w:val="-8"/>
        </w:rPr>
        <w:t xml:space="preserve"> </w:t>
      </w:r>
      <w:r>
        <w:rPr>
          <w:i/>
        </w:rPr>
        <w:t>etc.)</w:t>
      </w:r>
    </w:p>
    <w:p w14:paraId="6ECBC93B" w14:textId="77777777" w:rsidR="00C3343A" w:rsidRDefault="00C3343A" w:rsidP="00C3343A">
      <w:pPr>
        <w:pStyle w:val="Heading2"/>
        <w:spacing w:before="118"/>
        <w:ind w:left="117" w:firstLine="0"/>
        <w:jc w:val="both"/>
      </w:pPr>
      <w:r>
        <w:t>Other – please specify</w:t>
      </w:r>
    </w:p>
    <w:bookmarkEnd w:id="0"/>
    <w:p w14:paraId="3D9F498A" w14:textId="77777777" w:rsidR="00125971" w:rsidRPr="005F2FD4" w:rsidRDefault="00125971" w:rsidP="00125971">
      <w:pPr>
        <w:pStyle w:val="SingleTxtG"/>
        <w:ind w:left="0"/>
        <w:rPr>
          <w:b/>
          <w:bCs/>
        </w:rPr>
      </w:pPr>
    </w:p>
    <w:sectPr w:rsidR="00125971" w:rsidRPr="005F2FD4">
      <w:footerReference w:type="default" r:id="rId1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7318" w16cex:dateUtc="2021-02-10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D7BA2F" w16cid:durableId="23CE7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7A765" w14:textId="77777777" w:rsidR="005B4349" w:rsidRDefault="005B4349" w:rsidP="00C3343A">
      <w:pPr>
        <w:spacing w:after="0" w:line="240" w:lineRule="auto"/>
      </w:pPr>
      <w:r>
        <w:separator/>
      </w:r>
    </w:p>
  </w:endnote>
  <w:endnote w:type="continuationSeparator" w:id="0">
    <w:p w14:paraId="29C00AAE" w14:textId="77777777" w:rsidR="005B4349" w:rsidRDefault="005B4349" w:rsidP="00C33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C79CD" w14:textId="77777777" w:rsidR="00826EAF" w:rsidRDefault="001F0434">
    <w:pPr>
      <w:pStyle w:val="BodyText"/>
      <w:spacing w:before="0" w:line="14" w:lineRule="auto"/>
      <w:ind w:left="0" w:firstLine="0"/>
      <w:rPr>
        <w:i w:val="0"/>
        <w:sz w:val="20"/>
      </w:rPr>
    </w:pPr>
    <w:r>
      <w:rPr>
        <w:noProof/>
      </w:rPr>
      <mc:AlternateContent>
        <mc:Choice Requires="wps">
          <w:drawing>
            <wp:anchor distT="0" distB="0" distL="114300" distR="114300" simplePos="0" relativeHeight="251659264" behindDoc="1" locked="0" layoutInCell="1" allowOverlap="1" wp14:anchorId="4D348F21" wp14:editId="7463C5B8">
              <wp:simplePos x="0" y="0"/>
              <wp:positionH relativeFrom="page">
                <wp:posOffset>3718560</wp:posOffset>
              </wp:positionH>
              <wp:positionV relativeFrom="page">
                <wp:posOffset>9958705</wp:posOffset>
              </wp:positionV>
              <wp:extent cx="144780" cy="160020"/>
              <wp:effectExtent l="3810" t="0" r="381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56E7B" w14:textId="14741C79" w:rsidR="00826EAF" w:rsidRDefault="001F0434">
                          <w:pPr>
                            <w:spacing w:line="235" w:lineRule="exact"/>
                            <w:ind w:left="60"/>
                            <w:rPr>
                              <w:sz w:val="21"/>
                            </w:rPr>
                          </w:pPr>
                          <w:r>
                            <w:fldChar w:fldCharType="begin"/>
                          </w:r>
                          <w:r>
                            <w:rPr>
                              <w:sz w:val="21"/>
                            </w:rPr>
                            <w:instrText xml:space="preserve"> PAGE </w:instrText>
                          </w:r>
                          <w:r>
                            <w:fldChar w:fldCharType="separate"/>
                          </w:r>
                          <w:r w:rsidR="00704903">
                            <w:rPr>
                              <w:noProof/>
                              <w:sz w:val="21"/>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48F21" id="_x0000_t202" coordsize="21600,21600" o:spt="202" path="m,l,21600r21600,l21600,xe">
              <v:stroke joinstyle="miter"/>
              <v:path gradientshapeok="t" o:connecttype="rect"/>
            </v:shapetype>
            <v:shape id="Zone de texte 4" o:spid="_x0000_s1026" type="#_x0000_t202" style="position:absolute;margin-left:292.8pt;margin-top:784.15pt;width:11.4pt;height:12.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" filled="f" stroked="f">
              <v:textbox inset="0,0,0,0">
                <w:txbxContent>
                  <w:p w14:paraId="21A56E7B" w14:textId="14741C79" w:rsidR="00826EAF" w:rsidRDefault="001F0434">
                    <w:pPr>
                      <w:spacing w:line="235" w:lineRule="exact"/>
                      <w:ind w:left="60"/>
                      <w:rPr>
                        <w:sz w:val="21"/>
                      </w:rPr>
                    </w:pPr>
                    <w:r>
                      <w:fldChar w:fldCharType="begin"/>
                    </w:r>
                    <w:r>
                      <w:rPr>
                        <w:sz w:val="21"/>
                      </w:rPr>
                      <w:instrText xml:space="preserve"> PAGE </w:instrText>
                    </w:r>
                    <w:r>
                      <w:fldChar w:fldCharType="separate"/>
                    </w:r>
                    <w:r w:rsidR="00704903">
                      <w:rPr>
                        <w:noProof/>
                        <w:sz w:val="21"/>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37608" w14:textId="77777777" w:rsidR="005B4349" w:rsidRDefault="005B4349" w:rsidP="00C3343A">
      <w:pPr>
        <w:spacing w:after="0" w:line="240" w:lineRule="auto"/>
      </w:pPr>
      <w:r>
        <w:separator/>
      </w:r>
    </w:p>
  </w:footnote>
  <w:footnote w:type="continuationSeparator" w:id="0">
    <w:p w14:paraId="43642145" w14:textId="77777777" w:rsidR="005B4349" w:rsidRDefault="005B4349" w:rsidP="00C3343A">
      <w:pPr>
        <w:spacing w:after="0" w:line="240" w:lineRule="auto"/>
      </w:pPr>
      <w:r>
        <w:continuationSeparator/>
      </w:r>
    </w:p>
  </w:footnote>
  <w:footnote w:id="1">
    <w:p w14:paraId="16DA5CC2" w14:textId="77777777" w:rsidR="00C3343A" w:rsidRPr="00525DD2" w:rsidRDefault="00C3343A" w:rsidP="00C3343A">
      <w:pPr>
        <w:tabs>
          <w:tab w:val="left" w:pos="399"/>
        </w:tabs>
        <w:spacing w:before="78" w:after="0"/>
        <w:rPr>
          <w:sz w:val="18"/>
        </w:rPr>
      </w:pPr>
      <w:r>
        <w:rPr>
          <w:rStyle w:val="FootnoteReference"/>
        </w:rPr>
        <w:footnoteRef/>
      </w:r>
      <w:r>
        <w:t xml:space="preserve"> </w:t>
      </w:r>
      <w:r>
        <w:rPr>
          <w:sz w:val="18"/>
        </w:rPr>
        <w:t>The reference to ‘judges’ concerns judges at all level and types of courts as well as judges at constitutional</w:t>
      </w:r>
      <w:r>
        <w:rPr>
          <w:spacing w:val="-27"/>
          <w:sz w:val="18"/>
        </w:rPr>
        <w:t xml:space="preserve"> </w:t>
      </w:r>
      <w:r>
        <w:rPr>
          <w:sz w:val="18"/>
        </w:rPr>
        <w:t>courts.</w:t>
      </w:r>
    </w:p>
  </w:footnote>
  <w:footnote w:id="2">
    <w:p w14:paraId="52253493" w14:textId="77777777" w:rsidR="00C3343A" w:rsidRDefault="00C3343A" w:rsidP="00C3343A">
      <w:pPr>
        <w:pStyle w:val="FootnoteText"/>
      </w:pPr>
      <w:r>
        <w:rPr>
          <w:rStyle w:val="FootnoteReference"/>
        </w:rPr>
        <w:footnoteRef/>
      </w:r>
      <w:r>
        <w:t xml:space="preserve"> </w:t>
      </w:r>
      <w:r>
        <w:rPr>
          <w:sz w:val="18"/>
        </w:rPr>
        <w:t>Under this topic, Member States are not required to give statistical information but should provide input on the type of</w:t>
      </w:r>
      <w:bookmarkStart w:id="4" w:name="_bookmark2"/>
      <w:bookmarkEnd w:id="4"/>
      <w:r>
        <w:rPr>
          <w:sz w:val="18"/>
        </w:rPr>
        <w:t xml:space="preserve"> information outlined under section</w:t>
      </w:r>
      <w:r>
        <w:rPr>
          <w:spacing w:val="-5"/>
          <w:sz w:val="18"/>
        </w:rPr>
        <w:t xml:space="preserve"> </w:t>
      </w:r>
      <w:r>
        <w:rPr>
          <w:sz w:val="18"/>
        </w:rPr>
        <w:t>2.</w:t>
      </w:r>
    </w:p>
  </w:footnote>
  <w:footnote w:id="3">
    <w:p w14:paraId="785ECAC8" w14:textId="77777777" w:rsidR="00C3343A" w:rsidRDefault="00C3343A" w:rsidP="00C3343A">
      <w:pPr>
        <w:pStyle w:val="FootnoteText"/>
      </w:pPr>
      <w:r>
        <w:rPr>
          <w:rStyle w:val="FootnoteReference"/>
        </w:rPr>
        <w:footnoteRef/>
      </w:r>
      <w:r>
        <w:t xml:space="preserve"> </w:t>
      </w:r>
      <w:r>
        <w:rPr>
          <w:sz w:val="18"/>
        </w:rPr>
        <w:t>Material resources refer e.g. to court buildings and other</w:t>
      </w:r>
      <w:r>
        <w:rPr>
          <w:spacing w:val="-8"/>
          <w:sz w:val="18"/>
        </w:rPr>
        <w:t xml:space="preserve"> </w:t>
      </w:r>
      <w:r>
        <w:rPr>
          <w:sz w:val="18"/>
        </w:rPr>
        <w:t>facilities</w:t>
      </w:r>
    </w:p>
  </w:footnote>
  <w:footnote w:id="4">
    <w:p w14:paraId="679663A0" w14:textId="77777777" w:rsidR="00C3343A" w:rsidRDefault="00C3343A" w:rsidP="00C3343A">
      <w:pPr>
        <w:pStyle w:val="FootnoteText"/>
      </w:pPr>
      <w:r>
        <w:rPr>
          <w:rStyle w:val="FootnoteReference"/>
        </w:rPr>
        <w:footnoteRef/>
      </w:r>
      <w:r>
        <w:t xml:space="preserve"> </w:t>
      </w:r>
      <w:r>
        <w:rPr>
          <w:sz w:val="18"/>
        </w:rPr>
        <w:t>Factual information presented in Commission Staff Working Document of 2 December 2020, SWD(2020) 540 final, accompanying the Communication on Digitalisation of justice in the European Union, COM(2020) 710 final, does not need to be repeated</w:t>
      </w:r>
    </w:p>
  </w:footnote>
  <w:footnote w:id="5">
    <w:p w14:paraId="0F78CC77" w14:textId="77777777" w:rsidR="00C3343A" w:rsidRDefault="00C3343A" w:rsidP="00C3343A">
      <w:pPr>
        <w:pStyle w:val="FootnoteText"/>
      </w:pPr>
      <w:r>
        <w:rPr>
          <w:rStyle w:val="FootnoteReference"/>
        </w:rPr>
        <w:footnoteRef/>
      </w:r>
      <w:r>
        <w:t xml:space="preserve"> </w:t>
      </w:r>
      <w:r>
        <w:rPr>
          <w:sz w:val="18"/>
        </w:rPr>
        <w:t>Under this topic, Member States are not required to give statistical information but should provide input on the type of information outlined under section 2</w:t>
      </w:r>
    </w:p>
  </w:footnote>
  <w:footnote w:id="6">
    <w:p w14:paraId="2848B4D1" w14:textId="77777777" w:rsidR="00C3343A" w:rsidRDefault="00C3343A" w:rsidP="00C3343A">
      <w:pPr>
        <w:pStyle w:val="FootnoteText"/>
      </w:pPr>
      <w:r>
        <w:rPr>
          <w:rStyle w:val="FootnoteReference"/>
        </w:rPr>
        <w:footnoteRef/>
      </w:r>
      <w:r>
        <w:t xml:space="preserve"> </w:t>
      </w:r>
      <w:r>
        <w:rPr>
          <w:sz w:val="18"/>
        </w:rPr>
        <w:t>Cf. Article 30 of Directive</w:t>
      </w:r>
      <w:r>
        <w:rPr>
          <w:spacing w:val="-3"/>
          <w:sz w:val="18"/>
        </w:rPr>
        <w:t xml:space="preserve"> </w:t>
      </w:r>
      <w:r>
        <w:rPr>
          <w:sz w:val="18"/>
        </w:rPr>
        <w:t>2018/1808.</w:t>
      </w:r>
    </w:p>
  </w:footnote>
  <w:footnote w:id="7">
    <w:p w14:paraId="084D89A0" w14:textId="77777777" w:rsidR="00C3343A" w:rsidRDefault="00C3343A" w:rsidP="00C3343A">
      <w:pPr>
        <w:pStyle w:val="FootnoteText"/>
      </w:pPr>
      <w:r>
        <w:rPr>
          <w:rStyle w:val="FootnoteReference"/>
        </w:rPr>
        <w:footnoteRef/>
      </w:r>
      <w:r>
        <w:t xml:space="preserve"> </w:t>
      </w:r>
      <w:r>
        <w:rPr>
          <w:sz w:val="18"/>
        </w:rPr>
        <w:t xml:space="preserve">Cf. the website of the European Court of Auditors: </w:t>
      </w:r>
      <w:hyperlink r:id="rId1">
        <w:r>
          <w:rPr>
            <w:color w:val="0563C1"/>
            <w:sz w:val="18"/>
            <w:u w:val="single" w:color="0563C1"/>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8E942834"/>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3" w15:restartNumberingAfterBreak="0">
    <w:nsid w:val="2A163DC8"/>
    <w:multiLevelType w:val="hybridMultilevel"/>
    <w:tmpl w:val="AF00009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4"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5" w15:restartNumberingAfterBreak="0">
    <w:nsid w:val="3A620947"/>
    <w:multiLevelType w:val="hybridMultilevel"/>
    <w:tmpl w:val="39C494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381198"/>
    <w:multiLevelType w:val="hybridMultilevel"/>
    <w:tmpl w:val="2C12FC0C"/>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num w:numId="1">
    <w:abstractNumId w:val="2"/>
  </w:num>
  <w:num w:numId="2">
    <w:abstractNumId w:val="4"/>
  </w:num>
  <w:num w:numId="3">
    <w:abstractNumId w:val="3"/>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3A"/>
    <w:rsid w:val="00065023"/>
    <w:rsid w:val="000726DD"/>
    <w:rsid w:val="00073AE6"/>
    <w:rsid w:val="00085CEF"/>
    <w:rsid w:val="0008621B"/>
    <w:rsid w:val="00087DF9"/>
    <w:rsid w:val="0009620E"/>
    <w:rsid w:val="000D6829"/>
    <w:rsid w:val="001118CC"/>
    <w:rsid w:val="00124A8C"/>
    <w:rsid w:val="00125971"/>
    <w:rsid w:val="00145A90"/>
    <w:rsid w:val="00154E99"/>
    <w:rsid w:val="001C5420"/>
    <w:rsid w:val="001F0434"/>
    <w:rsid w:val="00201665"/>
    <w:rsid w:val="002171FF"/>
    <w:rsid w:val="002370B7"/>
    <w:rsid w:val="00293AE3"/>
    <w:rsid w:val="002B71AC"/>
    <w:rsid w:val="00301B6C"/>
    <w:rsid w:val="003C27D4"/>
    <w:rsid w:val="003C2DAD"/>
    <w:rsid w:val="0044573A"/>
    <w:rsid w:val="00463A0C"/>
    <w:rsid w:val="00476937"/>
    <w:rsid w:val="004778C6"/>
    <w:rsid w:val="004A6F48"/>
    <w:rsid w:val="004C1A32"/>
    <w:rsid w:val="00545EC5"/>
    <w:rsid w:val="005B4349"/>
    <w:rsid w:val="005D3D8C"/>
    <w:rsid w:val="005F2FD4"/>
    <w:rsid w:val="0061704B"/>
    <w:rsid w:val="0062649A"/>
    <w:rsid w:val="00651B8C"/>
    <w:rsid w:val="00704903"/>
    <w:rsid w:val="00740879"/>
    <w:rsid w:val="00743455"/>
    <w:rsid w:val="008B7728"/>
    <w:rsid w:val="009151F5"/>
    <w:rsid w:val="00920D30"/>
    <w:rsid w:val="00935E41"/>
    <w:rsid w:val="009626E5"/>
    <w:rsid w:val="009E4679"/>
    <w:rsid w:val="00A373B2"/>
    <w:rsid w:val="00A51B59"/>
    <w:rsid w:val="00A80593"/>
    <w:rsid w:val="00AD3F00"/>
    <w:rsid w:val="00AE3D23"/>
    <w:rsid w:val="00B83DB3"/>
    <w:rsid w:val="00B8500F"/>
    <w:rsid w:val="00BC0D11"/>
    <w:rsid w:val="00BF58DC"/>
    <w:rsid w:val="00C3343A"/>
    <w:rsid w:val="00C509C2"/>
    <w:rsid w:val="00C52407"/>
    <w:rsid w:val="00CA05AA"/>
    <w:rsid w:val="00CC4974"/>
    <w:rsid w:val="00D02E23"/>
    <w:rsid w:val="00D830DB"/>
    <w:rsid w:val="00ED710C"/>
    <w:rsid w:val="00EE158D"/>
    <w:rsid w:val="00EE7B15"/>
    <w:rsid w:val="00FB0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4C1F5"/>
  <w15:chartTrackingRefBased/>
  <w15:docId w15:val="{B6E48976-A5D8-4EB6-A4C8-AC995B350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43A"/>
    <w:rPr>
      <w:lang w:val="en-US"/>
    </w:rPr>
  </w:style>
  <w:style w:type="paragraph" w:styleId="Heading1">
    <w:name w:val="heading 1"/>
    <w:basedOn w:val="Normal"/>
    <w:link w:val="Heading1Char"/>
    <w:uiPriority w:val="9"/>
    <w:qFormat/>
    <w:rsid w:val="00C3343A"/>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C3343A"/>
    <w:pPr>
      <w:widowControl w:val="0"/>
      <w:autoSpaceDE w:val="0"/>
      <w:autoSpaceDN w:val="0"/>
      <w:spacing w:before="120" w:after="0" w:line="240" w:lineRule="auto"/>
      <w:ind w:left="544" w:hanging="428"/>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43A"/>
    <w:rPr>
      <w:rFonts w:ascii="Carlito" w:eastAsia="Carlito" w:hAnsi="Carlito" w:cs="Carlito"/>
      <w:b/>
      <w:bCs/>
      <w:lang w:val="en-US"/>
    </w:rPr>
  </w:style>
  <w:style w:type="character" w:customStyle="1" w:styleId="Heading2Char">
    <w:name w:val="Heading 2 Char"/>
    <w:basedOn w:val="DefaultParagraphFont"/>
    <w:link w:val="Heading2"/>
    <w:uiPriority w:val="9"/>
    <w:rsid w:val="00C3343A"/>
    <w:rPr>
      <w:rFonts w:ascii="Carlito" w:eastAsia="Carlito" w:hAnsi="Carlito" w:cs="Carlito"/>
      <w:b/>
      <w:bCs/>
      <w:i/>
      <w:lang w:val="en-US"/>
    </w:rPr>
  </w:style>
  <w:style w:type="paragraph" w:styleId="ListParagraph">
    <w:name w:val="List Paragraph"/>
    <w:basedOn w:val="Normal"/>
    <w:uiPriority w:val="34"/>
    <w:qFormat/>
    <w:rsid w:val="00C3343A"/>
    <w:pPr>
      <w:ind w:left="720"/>
      <w:contextualSpacing/>
    </w:pPr>
  </w:style>
  <w:style w:type="paragraph" w:styleId="BodyText">
    <w:name w:val="Body Text"/>
    <w:basedOn w:val="Normal"/>
    <w:link w:val="BodyTextChar"/>
    <w:uiPriority w:val="1"/>
    <w:qFormat/>
    <w:rsid w:val="00C3343A"/>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C3343A"/>
    <w:rPr>
      <w:rFonts w:ascii="Carlito" w:eastAsia="Carlito" w:hAnsi="Carlito" w:cs="Carlito"/>
      <w:i/>
      <w:lang w:val="en-US"/>
    </w:rPr>
  </w:style>
  <w:style w:type="paragraph" w:styleId="FootnoteText">
    <w:name w:val="footnote text"/>
    <w:basedOn w:val="Normal"/>
    <w:link w:val="FootnoteTextChar"/>
    <w:uiPriority w:val="99"/>
    <w:semiHidden/>
    <w:unhideWhenUsed/>
    <w:rsid w:val="00C334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343A"/>
    <w:rPr>
      <w:sz w:val="20"/>
      <w:szCs w:val="20"/>
      <w:lang w:val="en-US"/>
    </w:rPr>
  </w:style>
  <w:style w:type="character" w:styleId="FootnoteReference">
    <w:name w:val="footnote reference"/>
    <w:basedOn w:val="DefaultParagraphFont"/>
    <w:uiPriority w:val="99"/>
    <w:semiHidden/>
    <w:unhideWhenUsed/>
    <w:rsid w:val="00C3343A"/>
    <w:rPr>
      <w:vertAlign w:val="superscript"/>
    </w:rPr>
  </w:style>
  <w:style w:type="character" w:customStyle="1" w:styleId="SingleTxtGChar">
    <w:name w:val="_ Single Txt_G Char"/>
    <w:basedOn w:val="DefaultParagraphFont"/>
    <w:link w:val="SingleTxtG"/>
    <w:locked/>
    <w:rsid w:val="00125971"/>
    <w:rPr>
      <w:rFonts w:ascii="Times New Roman" w:hAnsi="Times New Roman" w:cs="Times New Roman"/>
      <w:sz w:val="20"/>
      <w:szCs w:val="20"/>
    </w:rPr>
  </w:style>
  <w:style w:type="paragraph" w:customStyle="1" w:styleId="SingleTxtG">
    <w:name w:val="_ Single Txt_G"/>
    <w:basedOn w:val="Normal"/>
    <w:link w:val="SingleTxtGChar"/>
    <w:qFormat/>
    <w:rsid w:val="00125971"/>
    <w:pPr>
      <w:spacing w:after="120" w:line="240" w:lineRule="atLeast"/>
      <w:ind w:left="1134" w:right="1134"/>
      <w:jc w:val="both"/>
    </w:pPr>
    <w:rPr>
      <w:rFonts w:ascii="Times New Roman" w:hAnsi="Times New Roman" w:cs="Times New Roman"/>
      <w:sz w:val="20"/>
      <w:szCs w:val="20"/>
      <w:lang w:val="en-GB"/>
    </w:rPr>
  </w:style>
  <w:style w:type="character" w:styleId="Hyperlink">
    <w:name w:val="Hyperlink"/>
    <w:basedOn w:val="DefaultParagraphFont"/>
    <w:uiPriority w:val="99"/>
    <w:unhideWhenUsed/>
    <w:rsid w:val="00085CEF"/>
    <w:rPr>
      <w:color w:val="0563C1" w:themeColor="hyperlink"/>
      <w:u w:val="single"/>
    </w:rPr>
  </w:style>
  <w:style w:type="character" w:customStyle="1" w:styleId="UnresolvedMention">
    <w:name w:val="Unresolved Mention"/>
    <w:basedOn w:val="DefaultParagraphFont"/>
    <w:uiPriority w:val="99"/>
    <w:semiHidden/>
    <w:unhideWhenUsed/>
    <w:rsid w:val="00085CEF"/>
    <w:rPr>
      <w:color w:val="605E5C"/>
      <w:shd w:val="clear" w:color="auto" w:fill="E1DFDD"/>
    </w:rPr>
  </w:style>
  <w:style w:type="character" w:styleId="CommentReference">
    <w:name w:val="annotation reference"/>
    <w:basedOn w:val="DefaultParagraphFont"/>
    <w:uiPriority w:val="99"/>
    <w:semiHidden/>
    <w:unhideWhenUsed/>
    <w:rsid w:val="00743455"/>
    <w:rPr>
      <w:sz w:val="16"/>
      <w:szCs w:val="16"/>
    </w:rPr>
  </w:style>
  <w:style w:type="paragraph" w:styleId="CommentText">
    <w:name w:val="annotation text"/>
    <w:basedOn w:val="Normal"/>
    <w:link w:val="CommentTextChar"/>
    <w:uiPriority w:val="99"/>
    <w:semiHidden/>
    <w:unhideWhenUsed/>
    <w:rsid w:val="00743455"/>
    <w:pPr>
      <w:spacing w:line="240" w:lineRule="auto"/>
    </w:pPr>
    <w:rPr>
      <w:sz w:val="20"/>
      <w:szCs w:val="20"/>
    </w:rPr>
  </w:style>
  <w:style w:type="character" w:customStyle="1" w:styleId="CommentTextChar">
    <w:name w:val="Comment Text Char"/>
    <w:basedOn w:val="DefaultParagraphFont"/>
    <w:link w:val="CommentText"/>
    <w:uiPriority w:val="99"/>
    <w:semiHidden/>
    <w:rsid w:val="00743455"/>
    <w:rPr>
      <w:sz w:val="20"/>
      <w:szCs w:val="20"/>
      <w:lang w:val="en-US"/>
    </w:rPr>
  </w:style>
  <w:style w:type="paragraph" w:styleId="CommentSubject">
    <w:name w:val="annotation subject"/>
    <w:basedOn w:val="CommentText"/>
    <w:next w:val="CommentText"/>
    <w:link w:val="CommentSubjectChar"/>
    <w:uiPriority w:val="99"/>
    <w:semiHidden/>
    <w:unhideWhenUsed/>
    <w:rsid w:val="00743455"/>
    <w:rPr>
      <w:b/>
      <w:bCs/>
    </w:rPr>
  </w:style>
  <w:style w:type="character" w:customStyle="1" w:styleId="CommentSubjectChar">
    <w:name w:val="Comment Subject Char"/>
    <w:basedOn w:val="CommentTextChar"/>
    <w:link w:val="CommentSubject"/>
    <w:uiPriority w:val="99"/>
    <w:semiHidden/>
    <w:rsid w:val="00743455"/>
    <w:rPr>
      <w:b/>
      <w:bCs/>
      <w:sz w:val="20"/>
      <w:szCs w:val="20"/>
      <w:lang w:val="en-US"/>
    </w:rPr>
  </w:style>
  <w:style w:type="character" w:styleId="FollowedHyperlink">
    <w:name w:val="FollowedHyperlink"/>
    <w:basedOn w:val="DefaultParagraphFont"/>
    <w:uiPriority w:val="99"/>
    <w:semiHidden/>
    <w:unhideWhenUsed/>
    <w:rsid w:val="00740879"/>
    <w:rPr>
      <w:color w:val="954F72" w:themeColor="followedHyperlink"/>
      <w:u w:val="single"/>
    </w:rPr>
  </w:style>
  <w:style w:type="paragraph" w:styleId="BalloonText">
    <w:name w:val="Balloon Text"/>
    <w:basedOn w:val="Normal"/>
    <w:link w:val="BalloonTextChar"/>
    <w:uiPriority w:val="99"/>
    <w:semiHidden/>
    <w:unhideWhenUsed/>
    <w:rsid w:val="004C1A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A32"/>
    <w:rPr>
      <w:rFonts w:ascii="Segoe UI" w:hAnsi="Segoe UI" w:cs="Segoe UI"/>
      <w:sz w:val="18"/>
      <w:szCs w:val="18"/>
      <w:lang w:val="en-US"/>
    </w:rPr>
  </w:style>
  <w:style w:type="table" w:styleId="TableGrid">
    <w:name w:val="Table Grid"/>
    <w:basedOn w:val="TableNormal"/>
    <w:uiPriority w:val="39"/>
    <w:rsid w:val="00A3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53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A/HRC/39/48/Add.2" TargetMode="External"/><Relationship Id="rId13" Type="http://schemas.openxmlformats.org/officeDocument/2006/relationships/hyperlink" Target="https://tbinternet.ohchr.org/_layouts/15/treatybodyexternal/Download.aspx?symbolno=E/C.12/DNK/CO/6&amp;Lang=En"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undocs.org/en/E/C.12/DNK/CO/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ohchr.org/EN/NewsEvents/Pages/DisplayNews.aspx?NewsID=26414&amp;Lang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hchr.org/EN/NewsEvents/Pages/DisplayNews.aspx?NewsID=26730" TargetMode="External"/><Relationship Id="rId5" Type="http://schemas.openxmlformats.org/officeDocument/2006/relationships/webSettings" Target="webSettings.xml"/><Relationship Id="rId15" Type="http://schemas.openxmlformats.org/officeDocument/2006/relationships/hyperlink" Target="https://spcommreports.ohchr.org/Tmsearch/TMDocuments" TargetMode="External"/><Relationship Id="rId10" Type="http://schemas.openxmlformats.org/officeDocument/2006/relationships/hyperlink" Target="https://spcommreports.ohchr.org/Tmsearch/TMDocumen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4985" TargetMode="External"/><Relationship Id="rId14" Type="http://schemas.openxmlformats.org/officeDocument/2006/relationships/hyperlink" Target="https://spcommreports.ohchr.org/TMResultsBase/DownLoadPublicCommunicationFile?gId=25636" TargetMode="Externa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671-A62A-4256-9805-EA236250B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BOSMAN Susanne</dc:creator>
  <cp:keywords/>
  <dc:description/>
  <cp:lastModifiedBy>Edyta</cp:lastModifiedBy>
  <cp:revision>2</cp:revision>
  <dcterms:created xsi:type="dcterms:W3CDTF">2021-03-05T15:30:00Z</dcterms:created>
  <dcterms:modified xsi:type="dcterms:W3CDTF">2021-03-05T15:30:00Z</dcterms:modified>
</cp:coreProperties>
</file>